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F7" w:rsidRDefault="00B94406">
      <w:pPr>
        <w:pStyle w:val="UomAddressee"/>
        <w:jc w:val="both"/>
        <w:rPr>
          <w:rFonts w:ascii="Arial" w:hAnsi="Arial" w:cs="Arial"/>
          <w:b/>
          <w:bCs/>
        </w:rPr>
      </w:pPr>
      <w:bookmarkStart w:id="0" w:name="_GoBack"/>
      <w:bookmarkEnd w:id="0"/>
      <w:r>
        <w:rPr>
          <w:b/>
          <w:noProof/>
          <w:lang w:val="en-GB" w:eastAsia="en-GB"/>
        </w:rPr>
        <w:drawing>
          <wp:inline distT="0" distB="0" distL="0" distR="0">
            <wp:extent cx="1654175" cy="707390"/>
            <wp:effectExtent l="0" t="0" r="3175" b="0"/>
            <wp:docPr id="2" name="Picture 2" descr="G:\PSO\Admin &amp; Office Management\Templates\TAB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O\Admin &amp; Office Management\Templates\TAB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175" cy="707390"/>
                    </a:xfrm>
                    <a:prstGeom prst="rect">
                      <a:avLst/>
                    </a:prstGeom>
                    <a:noFill/>
                    <a:ln>
                      <a:noFill/>
                    </a:ln>
                  </pic:spPr>
                </pic:pic>
              </a:graphicData>
            </a:graphic>
          </wp:inline>
        </w:drawing>
      </w:r>
    </w:p>
    <w:p w:rsidR="006634F7" w:rsidRDefault="006634F7">
      <w:pPr>
        <w:pStyle w:val="UomAddressee"/>
        <w:jc w:val="both"/>
        <w:rPr>
          <w:rFonts w:ascii="Arial" w:hAnsi="Arial" w:cs="Arial"/>
          <w:b/>
          <w:bCs/>
          <w:sz w:val="20"/>
          <w:szCs w:val="20"/>
        </w:rPr>
      </w:pPr>
    </w:p>
    <w:p w:rsidR="003A77BF" w:rsidRPr="006634F7" w:rsidRDefault="003A77BF">
      <w:pPr>
        <w:pStyle w:val="UomAddressee"/>
        <w:jc w:val="both"/>
        <w:rPr>
          <w:rFonts w:ascii="Arial" w:hAnsi="Arial" w:cs="Arial"/>
          <w:b/>
          <w:bCs/>
          <w:sz w:val="20"/>
          <w:szCs w:val="20"/>
        </w:rPr>
      </w:pPr>
    </w:p>
    <w:p w:rsidR="006F7C99" w:rsidRPr="005C2781" w:rsidRDefault="00413C32" w:rsidP="00FE7814">
      <w:pPr>
        <w:jc w:val="center"/>
        <w:rPr>
          <w:rFonts w:ascii="Arial" w:hAnsi="Arial" w:cs="Arial"/>
          <w:b/>
          <w:sz w:val="22"/>
          <w:szCs w:val="18"/>
          <w:lang w:val="en-GB"/>
        </w:rPr>
      </w:pPr>
      <w:r w:rsidRPr="005C2781">
        <w:rPr>
          <w:rFonts w:ascii="Arial" w:hAnsi="Arial" w:cs="Arial"/>
          <w:b/>
          <w:sz w:val="22"/>
          <w:szCs w:val="18"/>
          <w:lang w:val="en-GB"/>
        </w:rPr>
        <w:t xml:space="preserve">FACULTY </w:t>
      </w:r>
      <w:r w:rsidR="00FE7814" w:rsidRPr="005C2781">
        <w:rPr>
          <w:rFonts w:ascii="Arial" w:hAnsi="Arial" w:cs="Arial"/>
          <w:b/>
          <w:sz w:val="22"/>
          <w:szCs w:val="18"/>
          <w:lang w:val="en-GB"/>
        </w:rPr>
        <w:t>ANNUAL</w:t>
      </w:r>
      <w:r w:rsidRPr="005C2781">
        <w:rPr>
          <w:rFonts w:ascii="Arial" w:hAnsi="Arial" w:cs="Arial"/>
          <w:b/>
          <w:sz w:val="22"/>
          <w:szCs w:val="18"/>
          <w:lang w:val="en-GB"/>
        </w:rPr>
        <w:t xml:space="preserve"> PERFORMANCE REVIEW</w:t>
      </w:r>
    </w:p>
    <w:p w:rsidR="006F7C99" w:rsidRPr="005C2781" w:rsidRDefault="006F7C99" w:rsidP="00D22450">
      <w:pPr>
        <w:jc w:val="center"/>
        <w:rPr>
          <w:rFonts w:ascii="Arial" w:hAnsi="Arial" w:cs="Arial"/>
          <w:b/>
          <w:sz w:val="22"/>
          <w:szCs w:val="18"/>
          <w:lang w:val="en-GB"/>
        </w:rPr>
      </w:pPr>
      <w:r w:rsidRPr="005C2781">
        <w:rPr>
          <w:rFonts w:ascii="Arial" w:hAnsi="Arial" w:cs="Arial"/>
          <w:b/>
          <w:sz w:val="22"/>
          <w:szCs w:val="18"/>
          <w:lang w:val="en-GB"/>
        </w:rPr>
        <w:t xml:space="preserve">Faculty of </w:t>
      </w:r>
      <w:r w:rsidR="00D22450" w:rsidRPr="005C2781">
        <w:rPr>
          <w:rFonts w:ascii="Arial" w:hAnsi="Arial" w:cs="Arial"/>
          <w:b/>
          <w:sz w:val="22"/>
          <w:szCs w:val="18"/>
          <w:lang w:val="en-GB"/>
        </w:rPr>
        <w:t>Engineering and Physical</w:t>
      </w:r>
      <w:r w:rsidRPr="005C2781">
        <w:rPr>
          <w:rFonts w:ascii="Arial" w:hAnsi="Arial" w:cs="Arial"/>
          <w:b/>
          <w:sz w:val="22"/>
          <w:szCs w:val="18"/>
          <w:lang w:val="en-GB"/>
        </w:rPr>
        <w:t xml:space="preserve"> Sciences</w:t>
      </w:r>
    </w:p>
    <w:p w:rsidR="006F7C99" w:rsidRPr="005C2781" w:rsidRDefault="00DE4996" w:rsidP="005124AC">
      <w:pPr>
        <w:jc w:val="center"/>
        <w:rPr>
          <w:rFonts w:ascii="Arial" w:hAnsi="Arial" w:cs="Arial"/>
          <w:sz w:val="22"/>
          <w:szCs w:val="18"/>
          <w:lang w:val="en-GB"/>
        </w:rPr>
      </w:pPr>
      <w:r>
        <w:rPr>
          <w:rFonts w:ascii="Arial" w:hAnsi="Arial" w:cs="Arial"/>
          <w:sz w:val="22"/>
          <w:szCs w:val="18"/>
          <w:lang w:val="en-GB"/>
        </w:rPr>
        <w:t>Tuesday</w:t>
      </w:r>
      <w:r w:rsidR="00D22450" w:rsidRPr="005C2781">
        <w:rPr>
          <w:rFonts w:ascii="Arial" w:hAnsi="Arial" w:cs="Arial"/>
          <w:sz w:val="22"/>
          <w:szCs w:val="18"/>
          <w:lang w:val="en-GB"/>
        </w:rPr>
        <w:t xml:space="preserve"> </w:t>
      </w:r>
      <w:r w:rsidR="00315315">
        <w:rPr>
          <w:rFonts w:ascii="Arial" w:hAnsi="Arial" w:cs="Arial"/>
          <w:sz w:val="22"/>
          <w:szCs w:val="18"/>
          <w:lang w:val="en-GB"/>
        </w:rPr>
        <w:t>27</w:t>
      </w:r>
      <w:r w:rsidR="007E0B69" w:rsidRPr="005C2781">
        <w:rPr>
          <w:rFonts w:ascii="Arial" w:hAnsi="Arial" w:cs="Arial"/>
          <w:sz w:val="22"/>
          <w:szCs w:val="18"/>
          <w:lang w:val="en-GB"/>
        </w:rPr>
        <w:t xml:space="preserve"> </w:t>
      </w:r>
      <w:r>
        <w:rPr>
          <w:rFonts w:ascii="Arial" w:hAnsi="Arial" w:cs="Arial"/>
          <w:sz w:val="22"/>
          <w:szCs w:val="18"/>
          <w:lang w:val="en-GB"/>
        </w:rPr>
        <w:t>October</w:t>
      </w:r>
      <w:r w:rsidR="00413C32" w:rsidRPr="005C2781">
        <w:rPr>
          <w:rFonts w:ascii="Arial" w:hAnsi="Arial" w:cs="Arial"/>
          <w:sz w:val="22"/>
          <w:szCs w:val="18"/>
          <w:lang w:val="en-GB"/>
        </w:rPr>
        <w:t xml:space="preserve"> </w:t>
      </w:r>
      <w:r w:rsidR="006F7C99" w:rsidRPr="005C2781">
        <w:rPr>
          <w:rFonts w:ascii="Arial" w:hAnsi="Arial" w:cs="Arial"/>
          <w:sz w:val="22"/>
          <w:szCs w:val="18"/>
          <w:lang w:val="en-GB"/>
        </w:rPr>
        <w:t>20</w:t>
      </w:r>
      <w:r w:rsidR="00D34972" w:rsidRPr="005C2781">
        <w:rPr>
          <w:rFonts w:ascii="Arial" w:hAnsi="Arial" w:cs="Arial"/>
          <w:sz w:val="22"/>
          <w:szCs w:val="18"/>
          <w:lang w:val="en-GB"/>
        </w:rPr>
        <w:t>1</w:t>
      </w:r>
      <w:r w:rsidR="00315315">
        <w:rPr>
          <w:rFonts w:ascii="Arial" w:hAnsi="Arial" w:cs="Arial"/>
          <w:sz w:val="22"/>
          <w:szCs w:val="18"/>
          <w:lang w:val="en-GB"/>
        </w:rPr>
        <w:t>5</w:t>
      </w:r>
    </w:p>
    <w:p w:rsidR="006F7C99" w:rsidRDefault="006F7C99" w:rsidP="006F7C99">
      <w:pPr>
        <w:jc w:val="center"/>
        <w:rPr>
          <w:rFonts w:ascii="Arial" w:hAnsi="Arial" w:cs="Arial"/>
          <w:sz w:val="22"/>
          <w:szCs w:val="18"/>
          <w:lang w:val="en-GB"/>
        </w:rPr>
      </w:pPr>
    </w:p>
    <w:p w:rsidR="00375322" w:rsidRPr="005C2781" w:rsidRDefault="00375322" w:rsidP="006F7C99">
      <w:pPr>
        <w:jc w:val="center"/>
        <w:rPr>
          <w:rFonts w:ascii="Arial" w:hAnsi="Arial" w:cs="Arial"/>
          <w:sz w:val="22"/>
          <w:szCs w:val="18"/>
          <w:lang w:val="en-GB"/>
        </w:rPr>
      </w:pPr>
    </w:p>
    <w:p w:rsidR="008B58B5" w:rsidRPr="00D537FE" w:rsidRDefault="008B58B5" w:rsidP="008B58B5">
      <w:pPr>
        <w:rPr>
          <w:rFonts w:ascii="Arial" w:hAnsi="Arial" w:cs="Arial"/>
          <w:b/>
          <w:sz w:val="21"/>
          <w:szCs w:val="21"/>
          <w:lang w:val="en-GB"/>
        </w:rPr>
      </w:pPr>
      <w:r w:rsidRPr="00D537FE">
        <w:rPr>
          <w:rFonts w:ascii="Arial" w:hAnsi="Arial" w:cs="Arial"/>
          <w:b/>
          <w:sz w:val="21"/>
          <w:szCs w:val="21"/>
          <w:lang w:val="en-GB"/>
        </w:rPr>
        <w:t xml:space="preserve">The Review Group consisted of: </w:t>
      </w:r>
    </w:p>
    <w:p w:rsidR="006F7C99" w:rsidRPr="00D537FE" w:rsidRDefault="000A4675" w:rsidP="00271C43">
      <w:pPr>
        <w:rPr>
          <w:rFonts w:ascii="Arial" w:hAnsi="Arial" w:cs="Arial"/>
          <w:sz w:val="21"/>
          <w:szCs w:val="21"/>
          <w:lang w:val="en-GB"/>
        </w:rPr>
      </w:pPr>
      <w:r w:rsidRPr="00264BEF">
        <w:rPr>
          <w:rFonts w:ascii="Arial" w:hAnsi="Arial" w:cs="Arial"/>
          <w:sz w:val="21"/>
          <w:szCs w:val="21"/>
          <w:lang w:val="en-GB"/>
        </w:rPr>
        <w:t xml:space="preserve">Professor Dame Nancy Rothwell (President and Vice-Chancellor) (Chair), </w:t>
      </w:r>
      <w:r w:rsidR="003351D1" w:rsidRPr="003351D1">
        <w:rPr>
          <w:rFonts w:ascii="Arial" w:hAnsi="Arial" w:cs="Arial"/>
          <w:sz w:val="21"/>
          <w:szCs w:val="21"/>
          <w:lang w:val="en-GB"/>
        </w:rPr>
        <w:t xml:space="preserve">Professor Colin Bailey (Deputy President and Deputy Vice-Chancellor), </w:t>
      </w:r>
      <w:r w:rsidRPr="00264BEF">
        <w:rPr>
          <w:rFonts w:ascii="Arial" w:hAnsi="Arial" w:cs="Arial"/>
          <w:sz w:val="21"/>
          <w:szCs w:val="21"/>
          <w:lang w:val="en-GB"/>
        </w:rPr>
        <w:t xml:space="preserve">Professor Clive Agnew (Vice-President for Teaching, Learning and Students), Professor Luke Georghiou (Vice-President for Research and Innovation), Professor James Thompson (Associate Vice-President for Social Responsibility), Professor Keith Brown (Vice-President and Dean, Faculty of Humanities), </w:t>
      </w:r>
      <w:r w:rsidR="00264BEF">
        <w:rPr>
          <w:rFonts w:ascii="Arial" w:hAnsi="Arial" w:cs="Arial"/>
          <w:sz w:val="21"/>
          <w:szCs w:val="21"/>
          <w:lang w:val="en-GB"/>
        </w:rPr>
        <w:t xml:space="preserve">Professor Ian Greer (Vice-President and Dean, Faculty of Medical and Human Sciences), </w:t>
      </w:r>
      <w:r w:rsidRPr="00264BEF">
        <w:rPr>
          <w:rFonts w:ascii="Arial" w:hAnsi="Arial" w:cs="Arial"/>
          <w:sz w:val="21"/>
          <w:szCs w:val="21"/>
          <w:lang w:val="en-GB"/>
        </w:rPr>
        <w:t>Mr Will Spinks (Registrar, Secretary and Chief Operating Officer), Mrs Karen Heaton (Director of HR), Mr Steve Mole (Director of Finance), Ms Helen Barton (Director of Planning),</w:t>
      </w:r>
      <w:r w:rsidRPr="00D537FE">
        <w:rPr>
          <w:rFonts w:ascii="Arial" w:hAnsi="Arial" w:cs="Arial"/>
          <w:sz w:val="21"/>
          <w:szCs w:val="21"/>
          <w:lang w:val="en-GB"/>
        </w:rPr>
        <w:t xml:space="preserve"> </w:t>
      </w:r>
      <w:r w:rsidR="000A0693">
        <w:rPr>
          <w:rFonts w:ascii="Arial" w:hAnsi="Arial" w:cs="Arial"/>
          <w:sz w:val="21"/>
          <w:szCs w:val="21"/>
          <w:lang w:val="en-GB"/>
        </w:rPr>
        <w:t>Ms Naa Acquah</w:t>
      </w:r>
      <w:r w:rsidRPr="00D537FE">
        <w:rPr>
          <w:rFonts w:ascii="Arial" w:hAnsi="Arial" w:cs="Arial"/>
          <w:sz w:val="21"/>
          <w:szCs w:val="21"/>
          <w:lang w:val="en-GB"/>
        </w:rPr>
        <w:t xml:space="preserve"> (</w:t>
      </w:r>
      <w:r w:rsidR="000A0693">
        <w:rPr>
          <w:rFonts w:ascii="Arial" w:hAnsi="Arial" w:cs="Arial"/>
          <w:sz w:val="21"/>
          <w:szCs w:val="21"/>
          <w:lang w:val="en-GB"/>
        </w:rPr>
        <w:t>General Secretary</w:t>
      </w:r>
      <w:r w:rsidRPr="00D537FE">
        <w:rPr>
          <w:rFonts w:ascii="Arial" w:hAnsi="Arial" w:cs="Arial"/>
          <w:sz w:val="21"/>
          <w:szCs w:val="21"/>
          <w:lang w:val="en-GB"/>
        </w:rPr>
        <w:t>, Students’ Union).</w:t>
      </w:r>
    </w:p>
    <w:p w:rsidR="00FE7814" w:rsidRPr="00D537FE" w:rsidRDefault="00FE7814" w:rsidP="006F7C99">
      <w:pPr>
        <w:rPr>
          <w:rFonts w:ascii="Arial" w:hAnsi="Arial" w:cs="Arial"/>
          <w:sz w:val="21"/>
          <w:szCs w:val="21"/>
          <w:highlight w:val="yellow"/>
          <w:lang w:val="en-GB"/>
        </w:rPr>
      </w:pPr>
    </w:p>
    <w:p w:rsidR="00D22450" w:rsidRPr="00D537FE" w:rsidRDefault="00D22450" w:rsidP="00D22450">
      <w:pPr>
        <w:rPr>
          <w:rFonts w:ascii="Arial" w:hAnsi="Arial" w:cs="Arial"/>
          <w:b/>
          <w:sz w:val="21"/>
          <w:szCs w:val="21"/>
          <w:lang w:val="en-GB"/>
        </w:rPr>
      </w:pPr>
      <w:r w:rsidRPr="00D537FE">
        <w:rPr>
          <w:rFonts w:ascii="Arial" w:hAnsi="Arial" w:cs="Arial"/>
          <w:b/>
          <w:sz w:val="21"/>
          <w:szCs w:val="21"/>
          <w:lang w:val="en-GB"/>
        </w:rPr>
        <w:t xml:space="preserve">The Faculty was represented by: </w:t>
      </w:r>
    </w:p>
    <w:p w:rsidR="006F7C99" w:rsidRPr="00D537FE" w:rsidRDefault="00FE7814" w:rsidP="006B6B3B">
      <w:pPr>
        <w:rPr>
          <w:rFonts w:ascii="Arial" w:hAnsi="Arial" w:cs="Arial"/>
          <w:sz w:val="21"/>
          <w:szCs w:val="21"/>
          <w:lang w:val="en-GB"/>
        </w:rPr>
      </w:pPr>
      <w:r w:rsidRPr="00D537FE">
        <w:rPr>
          <w:rFonts w:ascii="Arial" w:hAnsi="Arial" w:cs="Arial"/>
          <w:sz w:val="21"/>
          <w:szCs w:val="21"/>
          <w:lang w:val="en-GB"/>
        </w:rPr>
        <w:t xml:space="preserve">Professor </w:t>
      </w:r>
      <w:r w:rsidR="00315315">
        <w:rPr>
          <w:rFonts w:ascii="Arial" w:hAnsi="Arial" w:cs="Arial"/>
          <w:sz w:val="21"/>
          <w:szCs w:val="21"/>
          <w:lang w:val="en-GB"/>
        </w:rPr>
        <w:t>Martin Schröder</w:t>
      </w:r>
      <w:r w:rsidRPr="00D537FE">
        <w:rPr>
          <w:rFonts w:ascii="Arial" w:hAnsi="Arial" w:cs="Arial"/>
          <w:sz w:val="21"/>
          <w:szCs w:val="21"/>
          <w:lang w:val="en-GB"/>
        </w:rPr>
        <w:t xml:space="preserve"> (</w:t>
      </w:r>
      <w:r w:rsidR="00D22450" w:rsidRPr="00D537FE">
        <w:rPr>
          <w:rFonts w:ascii="Arial" w:hAnsi="Arial" w:cs="Arial"/>
          <w:sz w:val="21"/>
          <w:szCs w:val="21"/>
          <w:lang w:val="en-GB"/>
        </w:rPr>
        <w:t>Vice-President and Dean</w:t>
      </w:r>
      <w:r w:rsidRPr="00D537FE">
        <w:rPr>
          <w:rFonts w:ascii="Arial" w:hAnsi="Arial" w:cs="Arial"/>
          <w:sz w:val="21"/>
          <w:szCs w:val="21"/>
          <w:lang w:val="en-GB"/>
        </w:rPr>
        <w:t>)</w:t>
      </w:r>
      <w:r w:rsidR="00D22450" w:rsidRPr="00D537FE">
        <w:rPr>
          <w:rFonts w:ascii="Arial" w:hAnsi="Arial" w:cs="Arial"/>
          <w:sz w:val="21"/>
          <w:szCs w:val="21"/>
          <w:lang w:val="en-GB"/>
        </w:rPr>
        <w:t xml:space="preserve">, </w:t>
      </w:r>
      <w:r w:rsidR="00264BEF" w:rsidRPr="00264BEF">
        <w:rPr>
          <w:rFonts w:ascii="Arial" w:hAnsi="Arial" w:cs="Arial"/>
          <w:sz w:val="21"/>
          <w:szCs w:val="21"/>
        </w:rPr>
        <w:t xml:space="preserve">Professor Stephen Flint (Associate Dean for Internationalisation), </w:t>
      </w:r>
      <w:r w:rsidR="000A4675" w:rsidRPr="00264BEF">
        <w:rPr>
          <w:rFonts w:ascii="Arial" w:hAnsi="Arial" w:cs="Arial"/>
          <w:sz w:val="21"/>
          <w:szCs w:val="21"/>
        </w:rPr>
        <w:t>Professor</w:t>
      </w:r>
      <w:r w:rsidR="005124AC" w:rsidRPr="00264BEF">
        <w:rPr>
          <w:rFonts w:ascii="Arial" w:hAnsi="Arial" w:cs="Arial"/>
          <w:sz w:val="21"/>
          <w:szCs w:val="21"/>
        </w:rPr>
        <w:t xml:space="preserve"> Danielle George (</w:t>
      </w:r>
      <w:r w:rsidR="0096228D">
        <w:rPr>
          <w:rFonts w:ascii="Arial" w:hAnsi="Arial" w:cs="Arial"/>
          <w:sz w:val="21"/>
          <w:szCs w:val="21"/>
        </w:rPr>
        <w:t>Vice</w:t>
      </w:r>
      <w:r w:rsidR="005124AC" w:rsidRPr="00264BEF">
        <w:rPr>
          <w:rFonts w:ascii="Arial" w:hAnsi="Arial" w:cs="Arial"/>
          <w:sz w:val="21"/>
          <w:szCs w:val="21"/>
        </w:rPr>
        <w:t xml:space="preserve"> Dean for Teaching and Learning), </w:t>
      </w:r>
      <w:r w:rsidR="00264BEF">
        <w:rPr>
          <w:rFonts w:ascii="Arial" w:hAnsi="Arial" w:cs="Arial"/>
          <w:sz w:val="21"/>
          <w:szCs w:val="21"/>
        </w:rPr>
        <w:t xml:space="preserve">Professor Lin Li (Associate Dean for Business Engagement and Development), </w:t>
      </w:r>
      <w:r w:rsidR="000209DF" w:rsidRPr="00264BEF">
        <w:rPr>
          <w:rFonts w:ascii="Arial" w:hAnsi="Arial" w:cs="Arial"/>
          <w:sz w:val="21"/>
          <w:szCs w:val="21"/>
        </w:rPr>
        <w:t>Professor</w:t>
      </w:r>
      <w:r w:rsidR="00EA1261" w:rsidRPr="00264BEF">
        <w:rPr>
          <w:rFonts w:ascii="Arial" w:hAnsi="Arial" w:cs="Arial"/>
          <w:sz w:val="21"/>
          <w:szCs w:val="21"/>
        </w:rPr>
        <w:t xml:space="preserve"> Tim O’Brien (Associate Dean</w:t>
      </w:r>
      <w:r w:rsidR="00C91B5D" w:rsidRPr="00264BEF">
        <w:rPr>
          <w:rFonts w:ascii="Arial" w:hAnsi="Arial" w:cs="Arial"/>
          <w:sz w:val="21"/>
          <w:szCs w:val="21"/>
        </w:rPr>
        <w:t xml:space="preserve"> for</w:t>
      </w:r>
      <w:r w:rsidR="00EA1261" w:rsidRPr="00264BEF">
        <w:rPr>
          <w:rFonts w:ascii="Arial" w:hAnsi="Arial" w:cs="Arial"/>
          <w:sz w:val="21"/>
          <w:szCs w:val="21"/>
        </w:rPr>
        <w:t xml:space="preserve"> Social Responsibility),</w:t>
      </w:r>
      <w:r w:rsidR="00264BEF">
        <w:rPr>
          <w:rFonts w:ascii="Arial" w:hAnsi="Arial" w:cs="Arial"/>
          <w:sz w:val="21"/>
          <w:szCs w:val="21"/>
        </w:rPr>
        <w:t xml:space="preserve"> </w:t>
      </w:r>
      <w:r w:rsidR="00767291" w:rsidRPr="00264BEF">
        <w:rPr>
          <w:rFonts w:ascii="Arial" w:hAnsi="Arial" w:cs="Arial"/>
          <w:sz w:val="21"/>
          <w:szCs w:val="21"/>
        </w:rPr>
        <w:t xml:space="preserve">Professor Ann Webb (Associate Dean for Graduate Education), </w:t>
      </w:r>
      <w:r w:rsidR="00264BEF" w:rsidRPr="00264BEF">
        <w:rPr>
          <w:rFonts w:ascii="Arial" w:hAnsi="Arial" w:cs="Arial"/>
          <w:sz w:val="21"/>
          <w:szCs w:val="21"/>
          <w:lang w:val="en-GB"/>
        </w:rPr>
        <w:t xml:space="preserve">Professor Stephen Yeates (Associate Dean for Research), </w:t>
      </w:r>
      <w:r w:rsidR="00264BEF" w:rsidRPr="00264BEF">
        <w:rPr>
          <w:rFonts w:ascii="Arial" w:hAnsi="Arial" w:cs="Arial"/>
          <w:sz w:val="21"/>
          <w:szCs w:val="21"/>
        </w:rPr>
        <w:t>Professor Hugh Coe (Head of Earth, Atmosphe</w:t>
      </w:r>
      <w:r w:rsidR="00FA6AF0">
        <w:rPr>
          <w:rFonts w:ascii="Arial" w:hAnsi="Arial" w:cs="Arial"/>
          <w:sz w:val="21"/>
          <w:szCs w:val="21"/>
        </w:rPr>
        <w:t xml:space="preserve">ric and Environmental Sciences), </w:t>
      </w:r>
      <w:r w:rsidR="00D22450" w:rsidRPr="00FA6AF0">
        <w:rPr>
          <w:rFonts w:ascii="Arial" w:hAnsi="Arial" w:cs="Arial"/>
          <w:sz w:val="21"/>
          <w:szCs w:val="21"/>
        </w:rPr>
        <w:t xml:space="preserve">Professor Peter Duck (Head of Mathematics), Professor Andy Gibson (Head of </w:t>
      </w:r>
      <w:r w:rsidR="00EA1261" w:rsidRPr="00FA6AF0">
        <w:rPr>
          <w:rFonts w:ascii="Arial" w:hAnsi="Arial" w:cs="Arial"/>
          <w:sz w:val="21"/>
          <w:szCs w:val="21"/>
        </w:rPr>
        <w:t>Mechanical, Aerospace and Civil Engineering</w:t>
      </w:r>
      <w:r w:rsidR="00D22450" w:rsidRPr="00FA6AF0">
        <w:rPr>
          <w:rFonts w:ascii="Arial" w:hAnsi="Arial" w:cs="Arial"/>
          <w:sz w:val="21"/>
          <w:szCs w:val="21"/>
        </w:rPr>
        <w:t xml:space="preserve">), </w:t>
      </w:r>
      <w:r w:rsidR="00767291" w:rsidRPr="00264BEF">
        <w:rPr>
          <w:rFonts w:ascii="Arial" w:hAnsi="Arial" w:cs="Arial"/>
          <w:sz w:val="21"/>
          <w:szCs w:val="21"/>
        </w:rPr>
        <w:t xml:space="preserve">Professor Jim Miles (Head of Computer Science), </w:t>
      </w:r>
      <w:r w:rsidR="00EA1261" w:rsidRPr="00FA6AF0">
        <w:rPr>
          <w:rFonts w:ascii="Arial" w:hAnsi="Arial" w:cs="Arial"/>
          <w:sz w:val="21"/>
          <w:szCs w:val="21"/>
        </w:rPr>
        <w:t xml:space="preserve">Professor </w:t>
      </w:r>
      <w:r w:rsidR="00FA6AF0" w:rsidRPr="00FA6AF0">
        <w:rPr>
          <w:rFonts w:ascii="Arial" w:hAnsi="Arial" w:cs="Arial"/>
          <w:sz w:val="21"/>
          <w:szCs w:val="21"/>
        </w:rPr>
        <w:t>Peter Lovell</w:t>
      </w:r>
      <w:r w:rsidR="00EA1261" w:rsidRPr="00FA6AF0">
        <w:rPr>
          <w:rFonts w:ascii="Arial" w:hAnsi="Arial" w:cs="Arial"/>
          <w:sz w:val="21"/>
          <w:szCs w:val="21"/>
        </w:rPr>
        <w:t xml:space="preserve"> (</w:t>
      </w:r>
      <w:r w:rsidR="00FA6AF0" w:rsidRPr="00FA6AF0">
        <w:rPr>
          <w:rFonts w:ascii="Arial" w:hAnsi="Arial" w:cs="Arial"/>
          <w:sz w:val="21"/>
          <w:szCs w:val="21"/>
        </w:rPr>
        <w:t xml:space="preserve">on behalf of </w:t>
      </w:r>
      <w:r w:rsidR="00EA1261" w:rsidRPr="00FA6AF0">
        <w:rPr>
          <w:rFonts w:ascii="Arial" w:hAnsi="Arial" w:cs="Arial"/>
          <w:sz w:val="21"/>
          <w:szCs w:val="21"/>
        </w:rPr>
        <w:t>Head of Materials)</w:t>
      </w:r>
      <w:r w:rsidR="00D22450" w:rsidRPr="00FA6AF0">
        <w:rPr>
          <w:rFonts w:ascii="Arial" w:hAnsi="Arial" w:cs="Arial"/>
          <w:sz w:val="21"/>
          <w:szCs w:val="21"/>
        </w:rPr>
        <w:t xml:space="preserve">, </w:t>
      </w:r>
      <w:r w:rsidR="00264BEF" w:rsidRPr="00264BEF">
        <w:rPr>
          <w:rFonts w:ascii="Arial" w:hAnsi="Arial" w:cs="Arial"/>
          <w:sz w:val="21"/>
          <w:szCs w:val="21"/>
        </w:rPr>
        <w:t xml:space="preserve">Professor Simon Rowland (Head of Electrical and Electronic Engineering), </w:t>
      </w:r>
      <w:r w:rsidR="00D22450" w:rsidRPr="00264BEF">
        <w:rPr>
          <w:rFonts w:ascii="Arial" w:hAnsi="Arial" w:cs="Arial"/>
          <w:sz w:val="21"/>
          <w:szCs w:val="21"/>
        </w:rPr>
        <w:t xml:space="preserve">Professor Mike Sutcliffe (Head of Chemical Engineering and Analytical Science), </w:t>
      </w:r>
      <w:r w:rsidR="006C0E3C" w:rsidRPr="00FA6AF0">
        <w:rPr>
          <w:rFonts w:ascii="Arial" w:hAnsi="Arial" w:cs="Arial"/>
          <w:sz w:val="21"/>
          <w:szCs w:val="21"/>
        </w:rPr>
        <w:t>Professor Steve Watts (Head of Physics and Astronomy),</w:t>
      </w:r>
      <w:r w:rsidR="00D22450" w:rsidRPr="00FA6AF0">
        <w:rPr>
          <w:rFonts w:ascii="Arial" w:hAnsi="Arial" w:cs="Arial"/>
          <w:sz w:val="21"/>
          <w:szCs w:val="21"/>
        </w:rPr>
        <w:t xml:space="preserve"> </w:t>
      </w:r>
      <w:r w:rsidR="005124AC" w:rsidRPr="00264BEF">
        <w:rPr>
          <w:rFonts w:ascii="Arial" w:hAnsi="Arial" w:cs="Arial"/>
          <w:sz w:val="21"/>
          <w:szCs w:val="21"/>
          <w:lang w:val="en-GB"/>
        </w:rPr>
        <w:t xml:space="preserve">Professor </w:t>
      </w:r>
      <w:r w:rsidR="000A4675" w:rsidRPr="00264BEF">
        <w:rPr>
          <w:rFonts w:ascii="Arial" w:hAnsi="Arial" w:cs="Arial"/>
          <w:sz w:val="21"/>
          <w:szCs w:val="21"/>
          <w:lang w:val="en-GB"/>
        </w:rPr>
        <w:t>Richard Winpenny</w:t>
      </w:r>
      <w:r w:rsidR="005124AC" w:rsidRPr="00264BEF">
        <w:rPr>
          <w:rFonts w:ascii="Arial" w:hAnsi="Arial" w:cs="Arial"/>
          <w:sz w:val="21"/>
          <w:szCs w:val="21"/>
          <w:lang w:val="en-GB"/>
        </w:rPr>
        <w:t xml:space="preserve"> (Head of Chemistry), </w:t>
      </w:r>
      <w:r w:rsidRPr="00FA6AF0">
        <w:rPr>
          <w:rFonts w:ascii="Arial" w:hAnsi="Arial" w:cs="Arial"/>
          <w:sz w:val="21"/>
          <w:szCs w:val="21"/>
        </w:rPr>
        <w:t>Ms</w:t>
      </w:r>
      <w:r w:rsidR="00D22450" w:rsidRPr="00FA6AF0">
        <w:rPr>
          <w:rFonts w:ascii="Arial" w:hAnsi="Arial" w:cs="Arial"/>
          <w:sz w:val="21"/>
          <w:szCs w:val="21"/>
        </w:rPr>
        <w:t xml:space="preserve"> </w:t>
      </w:r>
      <w:r w:rsidRPr="00FA6AF0">
        <w:rPr>
          <w:rFonts w:ascii="Arial" w:hAnsi="Arial" w:cs="Arial"/>
          <w:sz w:val="21"/>
          <w:szCs w:val="21"/>
        </w:rPr>
        <w:t>Rachel</w:t>
      </w:r>
      <w:r w:rsidR="00D22450" w:rsidRPr="00FA6AF0">
        <w:rPr>
          <w:rFonts w:ascii="Arial" w:hAnsi="Arial" w:cs="Arial"/>
          <w:sz w:val="21"/>
          <w:szCs w:val="21"/>
        </w:rPr>
        <w:t xml:space="preserve"> </w:t>
      </w:r>
      <w:r w:rsidRPr="00FA6AF0">
        <w:rPr>
          <w:rFonts w:ascii="Arial" w:hAnsi="Arial" w:cs="Arial"/>
          <w:sz w:val="21"/>
          <w:szCs w:val="21"/>
        </w:rPr>
        <w:t>Brealey</w:t>
      </w:r>
      <w:r w:rsidR="00D22450" w:rsidRPr="00FA6AF0">
        <w:rPr>
          <w:rFonts w:ascii="Arial" w:hAnsi="Arial" w:cs="Arial"/>
          <w:sz w:val="21"/>
          <w:szCs w:val="21"/>
        </w:rPr>
        <w:t xml:space="preserve"> (</w:t>
      </w:r>
      <w:r w:rsidR="000A4675" w:rsidRPr="00FA6AF0">
        <w:rPr>
          <w:rFonts w:ascii="Arial" w:hAnsi="Arial" w:cs="Arial"/>
          <w:sz w:val="21"/>
          <w:szCs w:val="21"/>
        </w:rPr>
        <w:t>Director</w:t>
      </w:r>
      <w:r w:rsidR="00D22450" w:rsidRPr="00FA6AF0">
        <w:rPr>
          <w:rFonts w:ascii="Arial" w:hAnsi="Arial" w:cs="Arial"/>
          <w:sz w:val="21"/>
          <w:szCs w:val="21"/>
        </w:rPr>
        <w:t xml:space="preserve"> of Faculty </w:t>
      </w:r>
      <w:r w:rsidR="000A4675" w:rsidRPr="00FA6AF0">
        <w:rPr>
          <w:rFonts w:ascii="Arial" w:hAnsi="Arial" w:cs="Arial"/>
          <w:sz w:val="21"/>
          <w:szCs w:val="21"/>
        </w:rPr>
        <w:t>Operations</w:t>
      </w:r>
      <w:r w:rsidR="00D22450" w:rsidRPr="00FA6AF0">
        <w:rPr>
          <w:rFonts w:ascii="Arial" w:hAnsi="Arial" w:cs="Arial"/>
          <w:sz w:val="21"/>
          <w:szCs w:val="21"/>
        </w:rPr>
        <w:t>), Mrs Pauline Morgan (Head of Faculty Finance), Ms</w:t>
      </w:r>
      <w:r w:rsidR="00C50443" w:rsidRPr="00FA6AF0">
        <w:rPr>
          <w:rFonts w:ascii="Arial" w:hAnsi="Arial" w:cs="Arial"/>
          <w:sz w:val="21"/>
          <w:szCs w:val="21"/>
        </w:rPr>
        <w:t xml:space="preserve"> Sue Field (Head of Faculty HR)</w:t>
      </w:r>
      <w:r w:rsidR="00D22450" w:rsidRPr="00FA6AF0">
        <w:rPr>
          <w:rFonts w:ascii="Arial" w:hAnsi="Arial" w:cs="Arial"/>
          <w:sz w:val="21"/>
          <w:szCs w:val="21"/>
          <w:lang w:val="en-GB"/>
        </w:rPr>
        <w:t>.</w:t>
      </w:r>
    </w:p>
    <w:p w:rsidR="00FE7814" w:rsidRPr="00D537FE" w:rsidRDefault="00FE7814" w:rsidP="006C0E3C">
      <w:pPr>
        <w:rPr>
          <w:rFonts w:ascii="Arial" w:hAnsi="Arial" w:cs="Arial"/>
          <w:sz w:val="21"/>
          <w:szCs w:val="21"/>
          <w:lang w:val="en-GB"/>
        </w:rPr>
      </w:pPr>
    </w:p>
    <w:p w:rsidR="00FE7814" w:rsidRPr="00D537FE" w:rsidRDefault="00FE7814" w:rsidP="006C0E3C">
      <w:pPr>
        <w:rPr>
          <w:rFonts w:ascii="Arial" w:hAnsi="Arial" w:cs="Arial"/>
          <w:b/>
          <w:bCs/>
          <w:sz w:val="21"/>
          <w:szCs w:val="21"/>
          <w:lang w:val="en-GB"/>
        </w:rPr>
      </w:pPr>
      <w:r w:rsidRPr="00D537FE">
        <w:rPr>
          <w:rFonts w:ascii="Arial" w:hAnsi="Arial" w:cs="Arial"/>
          <w:b/>
          <w:bCs/>
          <w:sz w:val="21"/>
          <w:szCs w:val="21"/>
          <w:lang w:val="en-GB"/>
        </w:rPr>
        <w:t>Apologies:</w:t>
      </w:r>
    </w:p>
    <w:p w:rsidR="005124AC" w:rsidRPr="00D537FE" w:rsidRDefault="000A0693" w:rsidP="005124AC">
      <w:pPr>
        <w:rPr>
          <w:rFonts w:ascii="Arial" w:hAnsi="Arial" w:cs="Arial"/>
          <w:sz w:val="21"/>
          <w:szCs w:val="21"/>
          <w:lang w:val="en-GB"/>
        </w:rPr>
      </w:pPr>
      <w:r>
        <w:rPr>
          <w:rFonts w:ascii="Arial" w:hAnsi="Arial" w:cs="Arial"/>
          <w:sz w:val="21"/>
          <w:szCs w:val="21"/>
          <w:lang w:val="en-GB"/>
        </w:rPr>
        <w:t>Professor Martin</w:t>
      </w:r>
      <w:r w:rsidR="00345FA9">
        <w:rPr>
          <w:rFonts w:ascii="Arial" w:hAnsi="Arial" w:cs="Arial"/>
          <w:sz w:val="21"/>
          <w:szCs w:val="21"/>
          <w:lang w:val="en-GB"/>
        </w:rPr>
        <w:t xml:space="preserve"> Humphries (Vice-President and D</w:t>
      </w:r>
      <w:r>
        <w:rPr>
          <w:rFonts w:ascii="Arial" w:hAnsi="Arial" w:cs="Arial"/>
          <w:sz w:val="21"/>
          <w:szCs w:val="21"/>
          <w:lang w:val="en-GB"/>
        </w:rPr>
        <w:t>ean, Faculty of</w:t>
      </w:r>
      <w:r w:rsidR="00990A4F">
        <w:rPr>
          <w:rFonts w:ascii="Arial" w:hAnsi="Arial" w:cs="Arial"/>
          <w:sz w:val="21"/>
          <w:szCs w:val="21"/>
          <w:lang w:val="en-GB"/>
        </w:rPr>
        <w:t xml:space="preserve"> Life Sciences</w:t>
      </w:r>
      <w:r w:rsidR="00EE5598">
        <w:rPr>
          <w:rFonts w:ascii="Arial" w:hAnsi="Arial" w:cs="Arial"/>
          <w:sz w:val="21"/>
          <w:szCs w:val="21"/>
          <w:lang w:val="en-GB"/>
        </w:rPr>
        <w:t>)</w:t>
      </w:r>
      <w:r>
        <w:rPr>
          <w:rFonts w:ascii="Arial" w:hAnsi="Arial" w:cs="Arial"/>
          <w:sz w:val="21"/>
          <w:szCs w:val="21"/>
          <w:lang w:val="en-GB"/>
        </w:rPr>
        <w:t xml:space="preserve">, </w:t>
      </w:r>
      <w:r w:rsidR="00264BEF" w:rsidRPr="00264BEF">
        <w:rPr>
          <w:rFonts w:ascii="Arial" w:hAnsi="Arial" w:cs="Arial"/>
          <w:sz w:val="21"/>
          <w:szCs w:val="21"/>
          <w:lang w:val="en-GB"/>
        </w:rPr>
        <w:t xml:space="preserve">Professor </w:t>
      </w:r>
      <w:r w:rsidR="00FA6AF0">
        <w:rPr>
          <w:rFonts w:ascii="Arial" w:hAnsi="Arial" w:cs="Arial"/>
          <w:sz w:val="21"/>
          <w:szCs w:val="21"/>
          <w:lang w:val="en-GB"/>
        </w:rPr>
        <w:t>Bill Sampson</w:t>
      </w:r>
      <w:r w:rsidR="00264BEF" w:rsidRPr="00264BEF">
        <w:rPr>
          <w:rFonts w:ascii="Arial" w:hAnsi="Arial" w:cs="Arial"/>
          <w:sz w:val="21"/>
          <w:szCs w:val="21"/>
          <w:lang w:val="en-GB"/>
        </w:rPr>
        <w:t xml:space="preserve"> (</w:t>
      </w:r>
      <w:r w:rsidR="00FA6AF0">
        <w:rPr>
          <w:rFonts w:ascii="Arial" w:hAnsi="Arial" w:cs="Arial"/>
          <w:sz w:val="21"/>
          <w:szCs w:val="21"/>
          <w:lang w:val="en-GB"/>
        </w:rPr>
        <w:t>Head of Materials</w:t>
      </w:r>
      <w:r w:rsidR="00264BEF" w:rsidRPr="00264BEF">
        <w:rPr>
          <w:rFonts w:ascii="Arial" w:hAnsi="Arial" w:cs="Arial"/>
          <w:sz w:val="21"/>
          <w:szCs w:val="21"/>
          <w:lang w:val="en-GB"/>
        </w:rPr>
        <w:t>)</w:t>
      </w:r>
      <w:r w:rsidR="00FA6AF0">
        <w:rPr>
          <w:rFonts w:ascii="Arial" w:hAnsi="Arial" w:cs="Arial"/>
          <w:sz w:val="21"/>
          <w:szCs w:val="21"/>
          <w:lang w:val="en-GB"/>
        </w:rPr>
        <w:t>.</w:t>
      </w:r>
      <w:r w:rsidR="00264BEF" w:rsidRPr="00264BEF">
        <w:rPr>
          <w:rFonts w:ascii="Arial" w:hAnsi="Arial" w:cs="Arial"/>
          <w:sz w:val="21"/>
          <w:szCs w:val="21"/>
          <w:lang w:val="en-GB"/>
        </w:rPr>
        <w:t xml:space="preserve"> </w:t>
      </w:r>
    </w:p>
    <w:p w:rsidR="005124AC" w:rsidRPr="00D537FE" w:rsidRDefault="005124AC" w:rsidP="005124AC">
      <w:pPr>
        <w:rPr>
          <w:rFonts w:ascii="Arial" w:hAnsi="Arial" w:cs="Arial"/>
          <w:sz w:val="21"/>
          <w:szCs w:val="21"/>
          <w:lang w:val="en-GB"/>
        </w:rPr>
      </w:pPr>
    </w:p>
    <w:p w:rsidR="006F7C99" w:rsidRPr="00D537FE" w:rsidRDefault="006F7C99" w:rsidP="006F7C99">
      <w:pPr>
        <w:rPr>
          <w:rFonts w:ascii="Arial" w:hAnsi="Arial" w:cs="Arial"/>
          <w:b/>
          <w:sz w:val="21"/>
          <w:szCs w:val="21"/>
          <w:lang w:val="en-GB"/>
        </w:rPr>
      </w:pPr>
      <w:r w:rsidRPr="00D537FE">
        <w:rPr>
          <w:rFonts w:ascii="Arial" w:hAnsi="Arial" w:cs="Arial"/>
          <w:b/>
          <w:sz w:val="21"/>
          <w:szCs w:val="21"/>
          <w:lang w:val="en-GB"/>
        </w:rPr>
        <w:t>In attendance:</w:t>
      </w:r>
    </w:p>
    <w:p w:rsidR="006F7C99" w:rsidRPr="00D537FE" w:rsidRDefault="00C50443" w:rsidP="006F7C99">
      <w:pPr>
        <w:rPr>
          <w:rFonts w:ascii="Arial" w:hAnsi="Arial" w:cs="Arial"/>
          <w:sz w:val="21"/>
          <w:szCs w:val="21"/>
          <w:lang w:val="en-GB"/>
        </w:rPr>
      </w:pPr>
      <w:r w:rsidRPr="00FA6AF0">
        <w:rPr>
          <w:rFonts w:ascii="Arial" w:hAnsi="Arial" w:cs="Arial"/>
          <w:sz w:val="21"/>
          <w:szCs w:val="21"/>
          <w:lang w:val="en-GB"/>
        </w:rPr>
        <w:t xml:space="preserve">Mr Ian Bradley (Head of Academic Services, EPS), </w:t>
      </w:r>
      <w:r w:rsidR="000A4675" w:rsidRPr="00FA6AF0">
        <w:rPr>
          <w:rFonts w:ascii="Arial" w:hAnsi="Arial" w:cs="Arial"/>
          <w:sz w:val="21"/>
          <w:szCs w:val="21"/>
          <w:lang w:val="en-GB"/>
        </w:rPr>
        <w:t xml:space="preserve">Ms Pia Pollock (Project Officer, Planning, EPS), </w:t>
      </w:r>
      <w:r w:rsidR="00FA6AF0">
        <w:rPr>
          <w:rFonts w:ascii="Arial" w:hAnsi="Arial" w:cs="Arial"/>
          <w:sz w:val="21"/>
          <w:szCs w:val="21"/>
          <w:lang w:val="en-GB"/>
        </w:rPr>
        <w:t xml:space="preserve">Mrs Alison Holt (Office of the VPD, EPS), </w:t>
      </w:r>
      <w:r w:rsidR="006F7C99" w:rsidRPr="00FA6AF0">
        <w:rPr>
          <w:rFonts w:ascii="Arial" w:hAnsi="Arial" w:cs="Arial"/>
          <w:sz w:val="21"/>
          <w:szCs w:val="21"/>
          <w:lang w:val="en-GB"/>
        </w:rPr>
        <w:t>Mrs Roxanne Bretherton</w:t>
      </w:r>
      <w:r w:rsidR="00C41E05" w:rsidRPr="00FA6AF0">
        <w:rPr>
          <w:rFonts w:ascii="Arial" w:hAnsi="Arial" w:cs="Arial"/>
          <w:sz w:val="21"/>
          <w:szCs w:val="21"/>
          <w:lang w:val="en-GB"/>
        </w:rPr>
        <w:t>, Ms Nicky Evers</w:t>
      </w:r>
      <w:r w:rsidR="00002E73" w:rsidRPr="00FA6AF0">
        <w:rPr>
          <w:rFonts w:ascii="Arial" w:hAnsi="Arial" w:cs="Arial"/>
          <w:sz w:val="21"/>
          <w:szCs w:val="21"/>
          <w:lang w:val="en-GB"/>
        </w:rPr>
        <w:t xml:space="preserve"> (Planning Support Office)</w:t>
      </w:r>
      <w:r w:rsidR="00176300" w:rsidRPr="00FA6AF0">
        <w:rPr>
          <w:rFonts w:ascii="Arial" w:hAnsi="Arial" w:cs="Arial"/>
          <w:sz w:val="21"/>
          <w:szCs w:val="21"/>
          <w:lang w:val="en-GB"/>
        </w:rPr>
        <w:t>.</w:t>
      </w:r>
    </w:p>
    <w:p w:rsidR="007B008D" w:rsidRPr="00375322" w:rsidRDefault="007B008D" w:rsidP="006F7C99">
      <w:pPr>
        <w:rPr>
          <w:rFonts w:ascii="Arial" w:hAnsi="Arial" w:cs="Arial"/>
          <w:sz w:val="22"/>
          <w:szCs w:val="22"/>
          <w:lang w:val="en-GB"/>
        </w:rPr>
      </w:pPr>
    </w:p>
    <w:p w:rsidR="0038152D" w:rsidRPr="001E6839" w:rsidRDefault="0038152D" w:rsidP="006F7C99">
      <w:pPr>
        <w:rPr>
          <w:rFonts w:ascii="Arial" w:hAnsi="Arial" w:cs="Arial"/>
          <w:sz w:val="20"/>
          <w:szCs w:val="20"/>
          <w:lang w:val="en-GB"/>
        </w:rPr>
      </w:pPr>
    </w:p>
    <w:p w:rsidR="00A76A41" w:rsidRPr="005C2781" w:rsidRDefault="00D34972" w:rsidP="00A76A41">
      <w:pPr>
        <w:tabs>
          <w:tab w:val="left" w:pos="561"/>
        </w:tabs>
        <w:rPr>
          <w:rFonts w:ascii="Arial" w:hAnsi="Arial" w:cs="Arial"/>
          <w:b/>
          <w:sz w:val="22"/>
          <w:szCs w:val="22"/>
          <w:lang w:val="en-GB"/>
        </w:rPr>
      </w:pPr>
      <w:r w:rsidRPr="005C2781">
        <w:rPr>
          <w:rFonts w:ascii="Arial" w:hAnsi="Arial" w:cs="Arial"/>
          <w:b/>
          <w:sz w:val="22"/>
          <w:szCs w:val="18"/>
          <w:lang w:val="en-GB"/>
        </w:rPr>
        <w:t xml:space="preserve">1. </w:t>
      </w:r>
      <w:r w:rsidRPr="005C2781">
        <w:rPr>
          <w:rFonts w:ascii="Arial" w:hAnsi="Arial" w:cs="Arial"/>
          <w:b/>
          <w:sz w:val="22"/>
          <w:szCs w:val="18"/>
          <w:lang w:val="en-GB"/>
        </w:rPr>
        <w:tab/>
      </w:r>
      <w:r w:rsidR="00A76A41" w:rsidRPr="005C2781">
        <w:rPr>
          <w:rFonts w:ascii="Arial" w:hAnsi="Arial" w:cs="Arial"/>
          <w:b/>
          <w:sz w:val="22"/>
          <w:szCs w:val="22"/>
          <w:lang w:val="en-GB"/>
        </w:rPr>
        <w:t>Purpose of the Faculty Annual Performance Reviews</w:t>
      </w:r>
    </w:p>
    <w:p w:rsidR="00A76A41" w:rsidRPr="001E6839" w:rsidRDefault="00A76A41" w:rsidP="00A76A41">
      <w:pPr>
        <w:rPr>
          <w:rFonts w:ascii="Arial" w:hAnsi="Arial" w:cs="Arial"/>
          <w:sz w:val="20"/>
          <w:szCs w:val="20"/>
          <w:lang w:val="en-GB"/>
        </w:rPr>
      </w:pPr>
    </w:p>
    <w:p w:rsidR="000A4675" w:rsidRDefault="000A4675" w:rsidP="000A4675">
      <w:pPr>
        <w:ind w:left="561"/>
        <w:rPr>
          <w:rFonts w:ascii="Arial" w:hAnsi="Arial" w:cs="Arial"/>
          <w:sz w:val="22"/>
          <w:szCs w:val="22"/>
          <w:lang w:val="en-GB"/>
        </w:rPr>
      </w:pPr>
      <w:r w:rsidRPr="000A4675">
        <w:rPr>
          <w:rFonts w:ascii="Arial" w:hAnsi="Arial" w:cs="Arial"/>
          <w:sz w:val="22"/>
          <w:szCs w:val="22"/>
          <w:lang w:val="en-GB"/>
        </w:rPr>
        <w:t>The purpose of the Faculty Annual Performance Review (APR) was to analyse and evaluate the Faculty’s strategic and operational performance in 201</w:t>
      </w:r>
      <w:r w:rsidR="00315315">
        <w:rPr>
          <w:rFonts w:ascii="Arial" w:hAnsi="Arial" w:cs="Arial"/>
          <w:sz w:val="22"/>
          <w:szCs w:val="22"/>
          <w:lang w:val="en-GB"/>
        </w:rPr>
        <w:t>4</w:t>
      </w:r>
      <w:r w:rsidRPr="000A4675">
        <w:rPr>
          <w:rFonts w:ascii="Arial" w:hAnsi="Arial" w:cs="Arial"/>
          <w:sz w:val="22"/>
          <w:szCs w:val="22"/>
          <w:lang w:val="en-GB"/>
        </w:rPr>
        <w:t>/1</w:t>
      </w:r>
      <w:r w:rsidR="00315315">
        <w:rPr>
          <w:rFonts w:ascii="Arial" w:hAnsi="Arial" w:cs="Arial"/>
          <w:sz w:val="22"/>
          <w:szCs w:val="22"/>
          <w:lang w:val="en-GB"/>
        </w:rPr>
        <w:t>5</w:t>
      </w:r>
      <w:r w:rsidRPr="000A4675">
        <w:rPr>
          <w:rFonts w:ascii="Arial" w:hAnsi="Arial" w:cs="Arial"/>
          <w:sz w:val="22"/>
          <w:szCs w:val="22"/>
          <w:lang w:val="en-GB"/>
        </w:rPr>
        <w:t xml:space="preserve"> and progress towards the goals and enabling strategies defined in the University’s Strategic Plan, </w:t>
      </w:r>
      <w:r w:rsidRPr="000A4675">
        <w:rPr>
          <w:rFonts w:ascii="Arial" w:hAnsi="Arial" w:cs="Arial"/>
          <w:i/>
          <w:iCs/>
          <w:sz w:val="22"/>
          <w:szCs w:val="22"/>
          <w:lang w:val="en-GB"/>
        </w:rPr>
        <w:t xml:space="preserve">Manchester 2020, </w:t>
      </w:r>
      <w:r w:rsidRPr="000A4675">
        <w:rPr>
          <w:rFonts w:ascii="Arial" w:hAnsi="Arial" w:cs="Arial"/>
          <w:iCs/>
          <w:sz w:val="22"/>
          <w:szCs w:val="22"/>
          <w:lang w:val="en-GB"/>
        </w:rPr>
        <w:t>in order to inform future priorities</w:t>
      </w:r>
      <w:r w:rsidRPr="000A4675">
        <w:rPr>
          <w:rFonts w:ascii="Arial" w:hAnsi="Arial" w:cs="Arial"/>
          <w:sz w:val="22"/>
          <w:szCs w:val="22"/>
          <w:lang w:val="en-GB"/>
        </w:rPr>
        <w:t>. The meeting focused on a review of performance and on forward planning, including setting and meeting challenging but realistic targets. Actions have been identified which will be followed up during the year in addition to reporting on implementation at the next Faculty APR. Key performance indicators relating to sustainability and HR issues, including equality and diversity, will be considered by the Capital Planning Sub-Committee and the HR Sub-Committee respectively. A complete evaluation of University performance in 201</w:t>
      </w:r>
      <w:r w:rsidR="00315315">
        <w:rPr>
          <w:rFonts w:ascii="Arial" w:hAnsi="Arial" w:cs="Arial"/>
          <w:sz w:val="22"/>
          <w:szCs w:val="22"/>
          <w:lang w:val="en-GB"/>
        </w:rPr>
        <w:t>4</w:t>
      </w:r>
      <w:r w:rsidRPr="000A4675">
        <w:rPr>
          <w:rFonts w:ascii="Arial" w:hAnsi="Arial" w:cs="Arial"/>
          <w:sz w:val="22"/>
          <w:szCs w:val="22"/>
          <w:lang w:val="en-GB"/>
        </w:rPr>
        <w:t>/1</w:t>
      </w:r>
      <w:r w:rsidR="00315315">
        <w:rPr>
          <w:rFonts w:ascii="Arial" w:hAnsi="Arial" w:cs="Arial"/>
          <w:sz w:val="22"/>
          <w:szCs w:val="22"/>
          <w:lang w:val="en-GB"/>
        </w:rPr>
        <w:t>5</w:t>
      </w:r>
      <w:r w:rsidRPr="000A4675">
        <w:rPr>
          <w:rFonts w:ascii="Arial" w:hAnsi="Arial" w:cs="Arial"/>
          <w:sz w:val="22"/>
          <w:szCs w:val="22"/>
          <w:lang w:val="en-GB"/>
        </w:rPr>
        <w:t xml:space="preserve"> will be pre</w:t>
      </w:r>
      <w:r w:rsidRPr="00FF4F82">
        <w:rPr>
          <w:rFonts w:ascii="Arial" w:hAnsi="Arial" w:cs="Arial"/>
          <w:sz w:val="22"/>
          <w:szCs w:val="22"/>
          <w:lang w:val="en-GB"/>
        </w:rPr>
        <w:t>sented to the Board of Governors at the conference in March</w:t>
      </w:r>
      <w:r w:rsidR="000A0693">
        <w:rPr>
          <w:rFonts w:ascii="Arial" w:hAnsi="Arial" w:cs="Arial"/>
          <w:sz w:val="22"/>
          <w:szCs w:val="22"/>
          <w:lang w:val="en-GB"/>
        </w:rPr>
        <w:t xml:space="preserve"> 2016</w:t>
      </w:r>
      <w:r w:rsidRPr="00FF4F82">
        <w:rPr>
          <w:rFonts w:ascii="Arial" w:hAnsi="Arial" w:cs="Arial"/>
          <w:sz w:val="22"/>
          <w:szCs w:val="22"/>
          <w:lang w:val="en-GB"/>
        </w:rPr>
        <w:t>.</w:t>
      </w:r>
    </w:p>
    <w:p w:rsidR="003A77BF" w:rsidRDefault="003A77BF" w:rsidP="003105C8">
      <w:pPr>
        <w:ind w:left="561"/>
        <w:rPr>
          <w:rFonts w:ascii="Arial" w:hAnsi="Arial" w:cs="Arial"/>
          <w:sz w:val="22"/>
          <w:szCs w:val="22"/>
          <w:lang w:val="en-GB"/>
        </w:rPr>
      </w:pPr>
    </w:p>
    <w:p w:rsidR="00DE4996" w:rsidRPr="00AF0384" w:rsidRDefault="00DE4996" w:rsidP="00DE4996">
      <w:pPr>
        <w:tabs>
          <w:tab w:val="left" w:pos="561"/>
        </w:tabs>
        <w:rPr>
          <w:rFonts w:ascii="Arial" w:hAnsi="Arial" w:cs="Arial"/>
          <w:b/>
          <w:sz w:val="22"/>
          <w:szCs w:val="22"/>
          <w:lang w:val="en-GB"/>
        </w:rPr>
      </w:pPr>
      <w:r w:rsidRPr="00AF0384">
        <w:rPr>
          <w:rFonts w:ascii="Arial" w:hAnsi="Arial" w:cs="Arial"/>
          <w:b/>
          <w:sz w:val="22"/>
          <w:szCs w:val="22"/>
          <w:lang w:val="en-GB"/>
        </w:rPr>
        <w:t xml:space="preserve">2. </w:t>
      </w:r>
      <w:r w:rsidRPr="00AF0384">
        <w:rPr>
          <w:rFonts w:ascii="Arial" w:hAnsi="Arial" w:cs="Arial"/>
          <w:b/>
          <w:sz w:val="22"/>
          <w:szCs w:val="22"/>
          <w:lang w:val="en-GB"/>
        </w:rPr>
        <w:tab/>
        <w:t xml:space="preserve">Priorities </w:t>
      </w:r>
      <w:r w:rsidR="00064C21">
        <w:rPr>
          <w:rFonts w:ascii="Arial" w:hAnsi="Arial" w:cs="Arial"/>
          <w:b/>
          <w:sz w:val="22"/>
          <w:szCs w:val="22"/>
          <w:lang w:val="en-GB"/>
        </w:rPr>
        <w:t>H</w:t>
      </w:r>
      <w:r w:rsidRPr="00AF0384">
        <w:rPr>
          <w:rFonts w:ascii="Arial" w:hAnsi="Arial" w:cs="Arial"/>
          <w:b/>
          <w:sz w:val="22"/>
          <w:szCs w:val="22"/>
          <w:lang w:val="en-GB"/>
        </w:rPr>
        <w:t>ighlighted in the 201</w:t>
      </w:r>
      <w:r w:rsidR="00315315">
        <w:rPr>
          <w:rFonts w:ascii="Arial" w:hAnsi="Arial" w:cs="Arial"/>
          <w:b/>
          <w:sz w:val="22"/>
          <w:szCs w:val="22"/>
          <w:lang w:val="en-GB"/>
        </w:rPr>
        <w:t>4</w:t>
      </w:r>
      <w:r w:rsidRPr="00AF0384">
        <w:rPr>
          <w:rFonts w:ascii="Arial" w:hAnsi="Arial" w:cs="Arial"/>
          <w:b/>
          <w:sz w:val="22"/>
          <w:szCs w:val="22"/>
          <w:lang w:val="en-GB"/>
        </w:rPr>
        <w:t xml:space="preserve"> </w:t>
      </w:r>
      <w:r>
        <w:rPr>
          <w:rFonts w:ascii="Arial" w:hAnsi="Arial" w:cs="Arial"/>
          <w:b/>
          <w:sz w:val="22"/>
          <w:szCs w:val="22"/>
          <w:lang w:val="en-GB"/>
        </w:rPr>
        <w:t>Annual</w:t>
      </w:r>
      <w:r w:rsidRPr="00AF0384">
        <w:rPr>
          <w:rFonts w:ascii="Arial" w:hAnsi="Arial" w:cs="Arial"/>
          <w:b/>
          <w:sz w:val="22"/>
          <w:szCs w:val="22"/>
          <w:lang w:val="en-GB"/>
        </w:rPr>
        <w:t xml:space="preserve"> Performance Review</w:t>
      </w:r>
    </w:p>
    <w:p w:rsidR="00DE4996" w:rsidRPr="00CC0FC6" w:rsidRDefault="00DE4996" w:rsidP="00DE4996">
      <w:pPr>
        <w:tabs>
          <w:tab w:val="left" w:pos="561"/>
        </w:tabs>
        <w:rPr>
          <w:rFonts w:ascii="Arial" w:hAnsi="Arial" w:cs="Arial"/>
          <w:b/>
          <w:sz w:val="22"/>
          <w:szCs w:val="22"/>
          <w:lang w:val="en-GB"/>
        </w:rPr>
      </w:pPr>
    </w:p>
    <w:p w:rsidR="00DE4996" w:rsidRDefault="00DE4996" w:rsidP="00DE4996">
      <w:pPr>
        <w:tabs>
          <w:tab w:val="left" w:pos="561"/>
        </w:tabs>
        <w:ind w:left="561" w:hanging="561"/>
        <w:rPr>
          <w:rFonts w:ascii="Arial" w:hAnsi="Arial" w:cs="Arial"/>
          <w:sz w:val="22"/>
          <w:szCs w:val="22"/>
          <w:lang w:val="en-GB"/>
        </w:rPr>
      </w:pPr>
      <w:r w:rsidRPr="00CC0FC6">
        <w:rPr>
          <w:rFonts w:ascii="Arial" w:hAnsi="Arial" w:cs="Arial"/>
          <w:b/>
          <w:sz w:val="22"/>
          <w:szCs w:val="22"/>
          <w:lang w:val="en-GB"/>
        </w:rPr>
        <w:tab/>
      </w:r>
      <w:r w:rsidRPr="00CC0FC6">
        <w:rPr>
          <w:rFonts w:ascii="Arial" w:hAnsi="Arial" w:cs="Arial"/>
          <w:sz w:val="22"/>
          <w:szCs w:val="22"/>
          <w:lang w:val="en-GB"/>
        </w:rPr>
        <w:t>The Faculty reported progress on the key strategic priorities which had been identified in last year’s APR report in its APR documentation.</w:t>
      </w:r>
    </w:p>
    <w:p w:rsidR="00DE4996" w:rsidRPr="00CC0FC6" w:rsidRDefault="00DE4996" w:rsidP="00DE4996">
      <w:pPr>
        <w:tabs>
          <w:tab w:val="left" w:pos="561"/>
        </w:tabs>
        <w:rPr>
          <w:rFonts w:ascii="Arial" w:hAnsi="Arial" w:cs="Arial"/>
          <w:b/>
          <w:sz w:val="22"/>
          <w:szCs w:val="22"/>
          <w:lang w:val="en-GB"/>
        </w:rPr>
      </w:pPr>
      <w:r w:rsidRPr="00CC0FC6">
        <w:rPr>
          <w:rFonts w:ascii="Arial" w:hAnsi="Arial" w:cs="Arial"/>
          <w:b/>
          <w:sz w:val="22"/>
          <w:szCs w:val="22"/>
          <w:lang w:val="en-GB"/>
        </w:rPr>
        <w:lastRenderedPageBreak/>
        <w:t xml:space="preserve">3. </w:t>
      </w:r>
      <w:r w:rsidRPr="00CC0FC6">
        <w:rPr>
          <w:rFonts w:ascii="Arial" w:hAnsi="Arial" w:cs="Arial"/>
          <w:b/>
          <w:sz w:val="22"/>
          <w:szCs w:val="22"/>
          <w:lang w:val="en-GB"/>
        </w:rPr>
        <w:tab/>
        <w:t>Outline of Faculty Performance</w:t>
      </w:r>
    </w:p>
    <w:p w:rsidR="00DE4996" w:rsidRPr="00B80C73" w:rsidRDefault="00DE4996" w:rsidP="00DE4996">
      <w:pPr>
        <w:tabs>
          <w:tab w:val="left" w:pos="561"/>
        </w:tabs>
        <w:rPr>
          <w:rFonts w:ascii="Arial" w:hAnsi="Arial" w:cs="Arial"/>
          <w:b/>
          <w:sz w:val="18"/>
          <w:szCs w:val="18"/>
          <w:lang w:val="en-GB"/>
        </w:rPr>
      </w:pPr>
    </w:p>
    <w:p w:rsidR="00DE4996" w:rsidRDefault="00DE4996" w:rsidP="00DE4996">
      <w:pPr>
        <w:tabs>
          <w:tab w:val="left" w:pos="561"/>
        </w:tabs>
        <w:ind w:left="561" w:hanging="561"/>
        <w:rPr>
          <w:rFonts w:ascii="Arial" w:hAnsi="Arial" w:cs="Arial"/>
          <w:sz w:val="22"/>
          <w:szCs w:val="22"/>
          <w:lang w:val="en-GB"/>
        </w:rPr>
      </w:pPr>
      <w:r w:rsidRPr="00CC0FC6">
        <w:rPr>
          <w:rFonts w:ascii="Arial" w:hAnsi="Arial" w:cs="Arial"/>
          <w:b/>
          <w:sz w:val="22"/>
          <w:szCs w:val="22"/>
          <w:lang w:val="en-GB"/>
        </w:rPr>
        <w:tab/>
      </w:r>
      <w:r w:rsidR="00CC0FC6" w:rsidRPr="00CC0FC6">
        <w:rPr>
          <w:rFonts w:ascii="Arial" w:hAnsi="Arial" w:cs="Arial"/>
          <w:sz w:val="22"/>
          <w:szCs w:val="22"/>
          <w:lang w:val="en-GB"/>
        </w:rPr>
        <w:t xml:space="preserve">The Vice-President and Dean (VPD) </w:t>
      </w:r>
      <w:r w:rsidR="0075610F">
        <w:rPr>
          <w:rFonts w:ascii="Arial" w:hAnsi="Arial" w:cs="Arial"/>
          <w:sz w:val="22"/>
          <w:szCs w:val="22"/>
          <w:lang w:val="en-GB"/>
        </w:rPr>
        <w:t xml:space="preserve">began by thanking the Faculty for </w:t>
      </w:r>
      <w:r w:rsidR="00F124D4">
        <w:rPr>
          <w:rFonts w:ascii="Arial" w:hAnsi="Arial" w:cs="Arial"/>
          <w:sz w:val="22"/>
          <w:szCs w:val="22"/>
          <w:lang w:val="en-GB"/>
        </w:rPr>
        <w:t>the</w:t>
      </w:r>
      <w:r w:rsidR="0075610F">
        <w:rPr>
          <w:rFonts w:ascii="Arial" w:hAnsi="Arial" w:cs="Arial"/>
          <w:sz w:val="22"/>
          <w:szCs w:val="22"/>
          <w:lang w:val="en-GB"/>
        </w:rPr>
        <w:t xml:space="preserve"> warm welcome and strong support he ha</w:t>
      </w:r>
      <w:r w:rsidR="0064522B">
        <w:rPr>
          <w:rFonts w:ascii="Arial" w:hAnsi="Arial" w:cs="Arial"/>
          <w:sz w:val="22"/>
          <w:szCs w:val="22"/>
          <w:lang w:val="en-GB"/>
        </w:rPr>
        <w:t>d</w:t>
      </w:r>
      <w:r w:rsidR="0075610F">
        <w:rPr>
          <w:rFonts w:ascii="Arial" w:hAnsi="Arial" w:cs="Arial"/>
          <w:sz w:val="22"/>
          <w:szCs w:val="22"/>
          <w:lang w:val="en-GB"/>
        </w:rPr>
        <w:t xml:space="preserve"> received since taking up the post in June 2015. He highlighted the following points about the Faculty’s current </w:t>
      </w:r>
      <w:r w:rsidR="004947D3">
        <w:rPr>
          <w:rFonts w:ascii="Arial" w:hAnsi="Arial" w:cs="Arial"/>
          <w:sz w:val="22"/>
          <w:szCs w:val="22"/>
          <w:lang w:val="en-GB"/>
        </w:rPr>
        <w:t xml:space="preserve">and future </w:t>
      </w:r>
      <w:r w:rsidR="0075610F">
        <w:rPr>
          <w:rFonts w:ascii="Arial" w:hAnsi="Arial" w:cs="Arial"/>
          <w:sz w:val="22"/>
          <w:szCs w:val="22"/>
          <w:lang w:val="en-GB"/>
        </w:rPr>
        <w:t>position:</w:t>
      </w:r>
    </w:p>
    <w:p w:rsidR="0075610F" w:rsidRPr="00B80C73" w:rsidRDefault="0075610F" w:rsidP="00DE4996">
      <w:pPr>
        <w:tabs>
          <w:tab w:val="left" w:pos="561"/>
        </w:tabs>
        <w:ind w:left="561" w:hanging="561"/>
        <w:rPr>
          <w:rFonts w:ascii="Arial" w:hAnsi="Arial" w:cs="Arial"/>
          <w:sz w:val="18"/>
          <w:szCs w:val="18"/>
          <w:lang w:val="en-GB"/>
        </w:rPr>
      </w:pPr>
    </w:p>
    <w:p w:rsidR="0075610F" w:rsidRDefault="0064522B"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w:t>
      </w:r>
      <w:r w:rsidR="0075610F">
        <w:rPr>
          <w:rFonts w:ascii="Arial" w:hAnsi="Arial" w:cs="Arial"/>
          <w:bCs/>
          <w:sz w:val="22"/>
          <w:szCs w:val="22"/>
          <w:lang w:val="en-GB"/>
        </w:rPr>
        <w:t>he Faculty’s financial position was good;</w:t>
      </w:r>
    </w:p>
    <w:p w:rsidR="00990A4F" w:rsidRDefault="007357B0" w:rsidP="007C4D45">
      <w:pPr>
        <w:pStyle w:val="ListParagraph"/>
        <w:numPr>
          <w:ilvl w:val="0"/>
          <w:numId w:val="43"/>
        </w:numPr>
        <w:tabs>
          <w:tab w:val="left" w:pos="561"/>
        </w:tabs>
        <w:rPr>
          <w:rFonts w:ascii="Arial" w:hAnsi="Arial" w:cs="Arial"/>
          <w:bCs/>
          <w:sz w:val="22"/>
          <w:szCs w:val="22"/>
          <w:lang w:val="en-GB"/>
        </w:rPr>
      </w:pPr>
      <w:proofErr w:type="gramStart"/>
      <w:r>
        <w:rPr>
          <w:rFonts w:ascii="Arial" w:hAnsi="Arial" w:cs="Arial"/>
          <w:bCs/>
          <w:sz w:val="22"/>
          <w:szCs w:val="22"/>
          <w:lang w:val="en-GB"/>
        </w:rPr>
        <w:t>some</w:t>
      </w:r>
      <w:proofErr w:type="gramEnd"/>
      <w:r>
        <w:rPr>
          <w:rFonts w:ascii="Arial" w:hAnsi="Arial" w:cs="Arial"/>
          <w:bCs/>
          <w:sz w:val="22"/>
          <w:szCs w:val="22"/>
          <w:lang w:val="en-GB"/>
        </w:rPr>
        <w:t xml:space="preserve"> areas of the Faculty had </w:t>
      </w:r>
      <w:r w:rsidR="00F124D4">
        <w:rPr>
          <w:rFonts w:ascii="Arial" w:hAnsi="Arial" w:cs="Arial"/>
          <w:bCs/>
          <w:sz w:val="22"/>
          <w:szCs w:val="22"/>
          <w:lang w:val="en-GB"/>
        </w:rPr>
        <w:t>h</w:t>
      </w:r>
      <w:r w:rsidR="0075610F">
        <w:rPr>
          <w:rFonts w:ascii="Arial" w:hAnsi="Arial" w:cs="Arial"/>
          <w:bCs/>
          <w:sz w:val="22"/>
          <w:szCs w:val="22"/>
          <w:lang w:val="en-GB"/>
        </w:rPr>
        <w:t xml:space="preserve">igh teaching loads and </w:t>
      </w:r>
      <w:r w:rsidR="00607539">
        <w:rPr>
          <w:rFonts w:ascii="Arial" w:hAnsi="Arial" w:cs="Arial"/>
          <w:bCs/>
          <w:sz w:val="22"/>
          <w:szCs w:val="22"/>
          <w:lang w:val="en-GB"/>
        </w:rPr>
        <w:t xml:space="preserve">high </w:t>
      </w:r>
      <w:proofErr w:type="spellStart"/>
      <w:r w:rsidR="004B10A9">
        <w:rPr>
          <w:rFonts w:ascii="Arial" w:hAnsi="Arial" w:cs="Arial"/>
          <w:bCs/>
          <w:sz w:val="22"/>
          <w:szCs w:val="22"/>
          <w:lang w:val="en-GB"/>
        </w:rPr>
        <w:t>staff:student</w:t>
      </w:r>
      <w:proofErr w:type="spellEnd"/>
      <w:r w:rsidR="004B10A9">
        <w:rPr>
          <w:rFonts w:ascii="Arial" w:hAnsi="Arial" w:cs="Arial"/>
          <w:bCs/>
          <w:sz w:val="22"/>
          <w:szCs w:val="22"/>
          <w:lang w:val="en-GB"/>
        </w:rPr>
        <w:t xml:space="preserve"> ratios (</w:t>
      </w:r>
      <w:r w:rsidR="00607539">
        <w:rPr>
          <w:rFonts w:ascii="Arial" w:hAnsi="Arial" w:cs="Arial"/>
          <w:bCs/>
          <w:sz w:val="22"/>
          <w:szCs w:val="22"/>
          <w:lang w:val="en-GB"/>
        </w:rPr>
        <w:t>SSRs</w:t>
      </w:r>
      <w:r w:rsidR="004B10A9">
        <w:rPr>
          <w:rFonts w:ascii="Arial" w:hAnsi="Arial" w:cs="Arial"/>
          <w:bCs/>
          <w:sz w:val="22"/>
          <w:szCs w:val="22"/>
          <w:lang w:val="en-GB"/>
        </w:rPr>
        <w:t>)</w:t>
      </w:r>
      <w:r w:rsidR="00607539">
        <w:rPr>
          <w:rFonts w:ascii="Arial" w:hAnsi="Arial" w:cs="Arial"/>
          <w:bCs/>
          <w:sz w:val="22"/>
          <w:szCs w:val="22"/>
          <w:lang w:val="en-GB"/>
        </w:rPr>
        <w:t xml:space="preserve"> </w:t>
      </w:r>
      <w:r>
        <w:rPr>
          <w:rFonts w:ascii="Arial" w:hAnsi="Arial" w:cs="Arial"/>
          <w:bCs/>
          <w:sz w:val="22"/>
          <w:szCs w:val="22"/>
          <w:lang w:val="en-GB"/>
        </w:rPr>
        <w:t>and there may be a case to redress this balance. Greater efficiencies in teaching needed to be achieved;</w:t>
      </w:r>
    </w:p>
    <w:p w:rsidR="0075610F" w:rsidRDefault="007357B0"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the percentage</w:t>
      </w:r>
      <w:r w:rsidR="00990A4F">
        <w:rPr>
          <w:rFonts w:ascii="Arial" w:hAnsi="Arial" w:cs="Arial"/>
          <w:bCs/>
          <w:sz w:val="22"/>
          <w:szCs w:val="22"/>
          <w:lang w:val="en-GB"/>
        </w:rPr>
        <w:t xml:space="preserve"> of good degrees (Firsts and 2(1)s) awarded</w:t>
      </w:r>
      <w:r>
        <w:rPr>
          <w:rFonts w:ascii="Arial" w:hAnsi="Arial" w:cs="Arial"/>
          <w:bCs/>
          <w:sz w:val="22"/>
          <w:szCs w:val="22"/>
          <w:lang w:val="en-GB"/>
        </w:rPr>
        <w:t xml:space="preserve"> across the Faculty required further consideration</w:t>
      </w:r>
      <w:r w:rsidR="00A63346">
        <w:rPr>
          <w:rFonts w:ascii="Arial" w:hAnsi="Arial" w:cs="Arial"/>
          <w:bCs/>
          <w:sz w:val="22"/>
          <w:szCs w:val="22"/>
          <w:lang w:val="en-GB"/>
        </w:rPr>
        <w:t>;</w:t>
      </w:r>
    </w:p>
    <w:p w:rsidR="007357B0" w:rsidRDefault="007357B0"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the two points above may have some adverse effect on student satisfaction;</w:t>
      </w:r>
    </w:p>
    <w:p w:rsidR="00A63346"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w:t>
      </w:r>
      <w:r w:rsidR="00A63346">
        <w:rPr>
          <w:rFonts w:ascii="Arial" w:hAnsi="Arial" w:cs="Arial"/>
          <w:bCs/>
          <w:sz w:val="22"/>
          <w:szCs w:val="22"/>
          <w:lang w:val="en-GB"/>
        </w:rPr>
        <w:t xml:space="preserve">he lower number of teaching only staff </w:t>
      </w:r>
      <w:r w:rsidR="003A542B">
        <w:rPr>
          <w:rFonts w:ascii="Arial" w:hAnsi="Arial" w:cs="Arial"/>
          <w:bCs/>
          <w:sz w:val="22"/>
          <w:szCs w:val="22"/>
          <w:lang w:val="en-GB"/>
        </w:rPr>
        <w:t xml:space="preserve">compared to the other Faculties </w:t>
      </w:r>
      <w:r w:rsidR="00A63346">
        <w:rPr>
          <w:rFonts w:ascii="Arial" w:hAnsi="Arial" w:cs="Arial"/>
          <w:bCs/>
          <w:sz w:val="22"/>
          <w:szCs w:val="22"/>
          <w:lang w:val="en-GB"/>
        </w:rPr>
        <w:t xml:space="preserve">needed </w:t>
      </w:r>
      <w:r w:rsidR="003A542B">
        <w:rPr>
          <w:rFonts w:ascii="Arial" w:hAnsi="Arial" w:cs="Arial"/>
          <w:bCs/>
          <w:sz w:val="22"/>
          <w:szCs w:val="22"/>
          <w:lang w:val="en-GB"/>
        </w:rPr>
        <w:t>to be reviewed</w:t>
      </w:r>
      <w:r w:rsidR="00A63346">
        <w:rPr>
          <w:rFonts w:ascii="Arial" w:hAnsi="Arial" w:cs="Arial"/>
          <w:bCs/>
          <w:sz w:val="22"/>
          <w:szCs w:val="22"/>
          <w:lang w:val="en-GB"/>
        </w:rPr>
        <w:t>;</w:t>
      </w:r>
    </w:p>
    <w:p w:rsidR="00A63346"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r</w:t>
      </w:r>
      <w:r w:rsidR="00A63346">
        <w:rPr>
          <w:rFonts w:ascii="Arial" w:hAnsi="Arial" w:cs="Arial"/>
          <w:bCs/>
          <w:sz w:val="22"/>
          <w:szCs w:val="22"/>
          <w:lang w:val="en-GB"/>
        </w:rPr>
        <w:t>esearch quality was generally strong but more time needed to be released for researchers;</w:t>
      </w:r>
    </w:p>
    <w:p w:rsidR="00A63346"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w:t>
      </w:r>
      <w:r w:rsidR="00A63346">
        <w:rPr>
          <w:rFonts w:ascii="Arial" w:hAnsi="Arial" w:cs="Arial"/>
          <w:bCs/>
          <w:sz w:val="22"/>
          <w:szCs w:val="22"/>
          <w:lang w:val="en-GB"/>
        </w:rPr>
        <w:t xml:space="preserve">he </w:t>
      </w:r>
      <w:r>
        <w:rPr>
          <w:rFonts w:ascii="Arial" w:hAnsi="Arial" w:cs="Arial"/>
          <w:bCs/>
          <w:sz w:val="22"/>
          <w:szCs w:val="22"/>
          <w:lang w:val="en-GB"/>
        </w:rPr>
        <w:t xml:space="preserve">outcome of </w:t>
      </w:r>
      <w:r w:rsidR="00A63346">
        <w:rPr>
          <w:rFonts w:ascii="Arial" w:hAnsi="Arial" w:cs="Arial"/>
          <w:bCs/>
          <w:sz w:val="22"/>
          <w:szCs w:val="22"/>
          <w:lang w:val="en-GB"/>
        </w:rPr>
        <w:t xml:space="preserve">REF2014 was disappointing, and the Faculty needed to </w:t>
      </w:r>
      <w:r w:rsidR="003A542B">
        <w:rPr>
          <w:rFonts w:ascii="Arial" w:hAnsi="Arial" w:cs="Arial"/>
          <w:bCs/>
          <w:sz w:val="22"/>
          <w:szCs w:val="22"/>
          <w:lang w:val="en-GB"/>
        </w:rPr>
        <w:t xml:space="preserve">improve </w:t>
      </w:r>
      <w:r w:rsidR="00A63346">
        <w:rPr>
          <w:rFonts w:ascii="Arial" w:hAnsi="Arial" w:cs="Arial"/>
          <w:bCs/>
          <w:sz w:val="22"/>
          <w:szCs w:val="22"/>
          <w:lang w:val="en-GB"/>
        </w:rPr>
        <w:t>outputs and closely monitor research income;</w:t>
      </w:r>
    </w:p>
    <w:p w:rsidR="00A63346"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a</w:t>
      </w:r>
      <w:r w:rsidR="00A63346">
        <w:rPr>
          <w:rFonts w:ascii="Arial" w:hAnsi="Arial" w:cs="Arial"/>
          <w:bCs/>
          <w:sz w:val="22"/>
          <w:szCs w:val="22"/>
          <w:lang w:val="en-GB"/>
        </w:rPr>
        <w:t xml:space="preserve"> number of </w:t>
      </w:r>
      <w:r w:rsidR="004E611B">
        <w:rPr>
          <w:rFonts w:ascii="Arial" w:hAnsi="Arial" w:cs="Arial"/>
          <w:bCs/>
          <w:sz w:val="22"/>
          <w:szCs w:val="22"/>
          <w:lang w:val="en-GB"/>
        </w:rPr>
        <w:t xml:space="preserve">significant </w:t>
      </w:r>
      <w:r w:rsidR="00A63346">
        <w:rPr>
          <w:rFonts w:ascii="Arial" w:hAnsi="Arial" w:cs="Arial"/>
          <w:bCs/>
          <w:sz w:val="22"/>
          <w:szCs w:val="22"/>
          <w:lang w:val="en-GB"/>
        </w:rPr>
        <w:t>opportunities were opening up with the enormous</w:t>
      </w:r>
      <w:r w:rsidR="004E611B">
        <w:rPr>
          <w:rFonts w:ascii="Arial" w:hAnsi="Arial" w:cs="Arial"/>
          <w:bCs/>
          <w:sz w:val="22"/>
          <w:szCs w:val="22"/>
          <w:lang w:val="en-GB"/>
        </w:rPr>
        <w:t xml:space="preserve"> capital</w:t>
      </w:r>
      <w:r w:rsidR="00A63346">
        <w:rPr>
          <w:rFonts w:ascii="Arial" w:hAnsi="Arial" w:cs="Arial"/>
          <w:bCs/>
          <w:sz w:val="22"/>
          <w:szCs w:val="22"/>
          <w:lang w:val="en-GB"/>
        </w:rPr>
        <w:t xml:space="preserve"> inves</w:t>
      </w:r>
      <w:r w:rsidR="004E611B">
        <w:rPr>
          <w:rFonts w:ascii="Arial" w:hAnsi="Arial" w:cs="Arial"/>
          <w:bCs/>
          <w:sz w:val="22"/>
          <w:szCs w:val="22"/>
          <w:lang w:val="en-GB"/>
        </w:rPr>
        <w:t>t</w:t>
      </w:r>
      <w:r w:rsidR="00A63346">
        <w:rPr>
          <w:rFonts w:ascii="Arial" w:hAnsi="Arial" w:cs="Arial"/>
          <w:bCs/>
          <w:sz w:val="22"/>
          <w:szCs w:val="22"/>
          <w:lang w:val="en-GB"/>
        </w:rPr>
        <w:t>ments</w:t>
      </w:r>
      <w:r w:rsidR="004E611B">
        <w:rPr>
          <w:rFonts w:ascii="Arial" w:hAnsi="Arial" w:cs="Arial"/>
          <w:bCs/>
          <w:sz w:val="22"/>
          <w:szCs w:val="22"/>
          <w:lang w:val="en-GB"/>
        </w:rPr>
        <w:t xml:space="preserve"> being made in Manchester Engineering Campus Development (MECD), the Graphene Engineering Innovation Centre (GEIC) and the Sir Henry Royce Institute (SHRI). However, there were also risks </w:t>
      </w:r>
      <w:r>
        <w:rPr>
          <w:rFonts w:ascii="Arial" w:hAnsi="Arial" w:cs="Arial"/>
          <w:bCs/>
          <w:sz w:val="22"/>
          <w:szCs w:val="22"/>
          <w:lang w:val="en-GB"/>
        </w:rPr>
        <w:t>to be managed</w:t>
      </w:r>
      <w:r w:rsidR="004E611B">
        <w:rPr>
          <w:rFonts w:ascii="Arial" w:hAnsi="Arial" w:cs="Arial"/>
          <w:bCs/>
          <w:sz w:val="22"/>
          <w:szCs w:val="22"/>
          <w:lang w:val="en-GB"/>
        </w:rPr>
        <w:t xml:space="preserve"> with such large ventures;</w:t>
      </w:r>
    </w:p>
    <w:p w:rsidR="004E611B" w:rsidRPr="004E611B"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t</w:t>
      </w:r>
      <w:r w:rsidR="004E611B">
        <w:rPr>
          <w:rFonts w:ascii="Arial" w:hAnsi="Arial" w:cs="Arial"/>
          <w:bCs/>
          <w:sz w:val="22"/>
          <w:szCs w:val="22"/>
          <w:lang w:val="en-GB"/>
        </w:rPr>
        <w:t>he Faculty needed to focus on staff workloads in relation to teaching and research;</w:t>
      </w:r>
    </w:p>
    <w:p w:rsidR="004E611B" w:rsidRDefault="004B10A9"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performance and development review (</w:t>
      </w:r>
      <w:r w:rsidR="004E611B">
        <w:rPr>
          <w:rFonts w:ascii="Arial" w:hAnsi="Arial" w:cs="Arial"/>
          <w:bCs/>
          <w:sz w:val="22"/>
          <w:szCs w:val="22"/>
          <w:lang w:val="en-GB"/>
        </w:rPr>
        <w:t>P&amp;DR</w:t>
      </w:r>
      <w:r>
        <w:rPr>
          <w:rFonts w:ascii="Arial" w:hAnsi="Arial" w:cs="Arial"/>
          <w:bCs/>
          <w:sz w:val="22"/>
          <w:szCs w:val="22"/>
          <w:lang w:val="en-GB"/>
        </w:rPr>
        <w:t>)</w:t>
      </w:r>
      <w:r w:rsidR="004E611B">
        <w:rPr>
          <w:rFonts w:ascii="Arial" w:hAnsi="Arial" w:cs="Arial"/>
          <w:bCs/>
          <w:sz w:val="22"/>
          <w:szCs w:val="22"/>
          <w:lang w:val="en-GB"/>
        </w:rPr>
        <w:t xml:space="preserve"> processes needed to be strengthened;</w:t>
      </w:r>
    </w:p>
    <w:p w:rsidR="004E611B" w:rsidRPr="0075610F" w:rsidRDefault="00F124D4" w:rsidP="007C4D45">
      <w:pPr>
        <w:pStyle w:val="ListParagraph"/>
        <w:numPr>
          <w:ilvl w:val="0"/>
          <w:numId w:val="43"/>
        </w:numPr>
        <w:tabs>
          <w:tab w:val="left" w:pos="561"/>
        </w:tabs>
        <w:rPr>
          <w:rFonts w:ascii="Arial" w:hAnsi="Arial" w:cs="Arial"/>
          <w:bCs/>
          <w:sz w:val="22"/>
          <w:szCs w:val="22"/>
          <w:lang w:val="en-GB"/>
        </w:rPr>
      </w:pPr>
      <w:r>
        <w:rPr>
          <w:rFonts w:ascii="Arial" w:hAnsi="Arial" w:cs="Arial"/>
          <w:bCs/>
          <w:sz w:val="22"/>
          <w:szCs w:val="22"/>
          <w:lang w:val="en-GB"/>
        </w:rPr>
        <w:t>a</w:t>
      </w:r>
      <w:r w:rsidR="004947D3">
        <w:rPr>
          <w:rFonts w:ascii="Arial" w:hAnsi="Arial" w:cs="Arial"/>
          <w:bCs/>
          <w:sz w:val="22"/>
          <w:szCs w:val="22"/>
          <w:lang w:val="en-GB"/>
        </w:rPr>
        <w:t>ll Schools should develop a five year strategy to help the Faculty focus on a more strategic view of its future direction.</w:t>
      </w:r>
    </w:p>
    <w:p w:rsidR="00315315" w:rsidRPr="00B80C73" w:rsidRDefault="00DE4996" w:rsidP="00DE4996">
      <w:pPr>
        <w:tabs>
          <w:tab w:val="left" w:pos="561"/>
        </w:tabs>
        <w:ind w:left="561" w:hanging="561"/>
        <w:rPr>
          <w:rFonts w:ascii="Arial" w:hAnsi="Arial" w:cs="Arial"/>
          <w:bCs/>
          <w:sz w:val="18"/>
          <w:szCs w:val="18"/>
          <w:lang w:val="en-GB"/>
        </w:rPr>
      </w:pPr>
      <w:r w:rsidRPr="00CC0FC6">
        <w:rPr>
          <w:rFonts w:ascii="Arial" w:hAnsi="Arial" w:cs="Arial"/>
          <w:b/>
          <w:sz w:val="22"/>
          <w:szCs w:val="22"/>
          <w:lang w:val="en-GB"/>
        </w:rPr>
        <w:tab/>
      </w:r>
    </w:p>
    <w:p w:rsidR="00DE4996" w:rsidRPr="00CC0FC6" w:rsidRDefault="00997A0E" w:rsidP="00DE4996">
      <w:pPr>
        <w:tabs>
          <w:tab w:val="left" w:pos="561"/>
        </w:tabs>
        <w:ind w:left="567" w:hanging="567"/>
        <w:rPr>
          <w:rFonts w:ascii="Arial" w:hAnsi="Arial" w:cs="Arial"/>
          <w:b/>
          <w:bCs/>
          <w:sz w:val="22"/>
          <w:szCs w:val="22"/>
          <w:lang w:val="en-GB"/>
        </w:rPr>
      </w:pPr>
      <w:r>
        <w:rPr>
          <w:rFonts w:ascii="Arial" w:hAnsi="Arial" w:cs="Arial"/>
          <w:b/>
          <w:bCs/>
          <w:sz w:val="22"/>
          <w:szCs w:val="22"/>
          <w:lang w:val="en-GB"/>
        </w:rPr>
        <w:t>4</w:t>
      </w:r>
      <w:r w:rsidR="00DE4996" w:rsidRPr="00CC0FC6">
        <w:rPr>
          <w:rFonts w:ascii="Arial" w:hAnsi="Arial" w:cs="Arial"/>
          <w:b/>
          <w:bCs/>
          <w:sz w:val="22"/>
          <w:szCs w:val="22"/>
          <w:lang w:val="en-GB"/>
        </w:rPr>
        <w:t>.</w:t>
      </w:r>
      <w:r w:rsidR="00DE4996" w:rsidRPr="00CC0FC6">
        <w:rPr>
          <w:rFonts w:ascii="Arial" w:hAnsi="Arial" w:cs="Arial"/>
          <w:b/>
          <w:bCs/>
          <w:sz w:val="22"/>
          <w:szCs w:val="22"/>
          <w:lang w:val="en-GB"/>
        </w:rPr>
        <w:tab/>
        <w:t xml:space="preserve">SWOT </w:t>
      </w:r>
      <w:r>
        <w:rPr>
          <w:rFonts w:ascii="Arial" w:hAnsi="Arial" w:cs="Arial"/>
          <w:b/>
          <w:bCs/>
          <w:sz w:val="22"/>
          <w:szCs w:val="22"/>
          <w:lang w:val="en-GB"/>
        </w:rPr>
        <w:t>a</w:t>
      </w:r>
      <w:r w:rsidR="00DE4996" w:rsidRPr="00CC0FC6">
        <w:rPr>
          <w:rFonts w:ascii="Arial" w:hAnsi="Arial" w:cs="Arial"/>
          <w:b/>
          <w:bCs/>
          <w:sz w:val="22"/>
          <w:szCs w:val="22"/>
          <w:lang w:val="en-GB"/>
        </w:rPr>
        <w:t>nalyses</w:t>
      </w:r>
    </w:p>
    <w:p w:rsidR="00B941B7" w:rsidRPr="00B80C73" w:rsidRDefault="00B941B7" w:rsidP="00DE4996">
      <w:pPr>
        <w:tabs>
          <w:tab w:val="left" w:pos="561"/>
        </w:tabs>
        <w:ind w:left="567" w:hanging="567"/>
        <w:rPr>
          <w:rFonts w:ascii="Arial" w:hAnsi="Arial" w:cs="Arial"/>
          <w:sz w:val="18"/>
          <w:szCs w:val="18"/>
          <w:lang w:val="en-GB"/>
        </w:rPr>
      </w:pPr>
    </w:p>
    <w:p w:rsidR="009C7E7F" w:rsidRDefault="00B941B7" w:rsidP="00315315">
      <w:pPr>
        <w:tabs>
          <w:tab w:val="left" w:pos="561"/>
        </w:tabs>
        <w:ind w:left="567" w:hanging="567"/>
        <w:rPr>
          <w:rFonts w:ascii="Arial" w:hAnsi="Arial" w:cs="Arial"/>
          <w:sz w:val="22"/>
          <w:szCs w:val="22"/>
          <w:lang w:val="en-GB"/>
        </w:rPr>
      </w:pPr>
      <w:r>
        <w:rPr>
          <w:rFonts w:ascii="Arial" w:hAnsi="Arial" w:cs="Arial"/>
          <w:sz w:val="22"/>
          <w:szCs w:val="22"/>
          <w:lang w:val="en-GB"/>
        </w:rPr>
        <w:tab/>
      </w:r>
      <w:r w:rsidR="00BA0179">
        <w:rPr>
          <w:rFonts w:ascii="Arial" w:hAnsi="Arial" w:cs="Arial"/>
          <w:sz w:val="22"/>
          <w:szCs w:val="22"/>
          <w:lang w:val="en-GB"/>
        </w:rPr>
        <w:tab/>
      </w:r>
      <w:r w:rsidR="00F124D4">
        <w:rPr>
          <w:rFonts w:ascii="Arial" w:hAnsi="Arial" w:cs="Arial"/>
          <w:sz w:val="22"/>
          <w:szCs w:val="22"/>
          <w:lang w:val="en-GB"/>
        </w:rPr>
        <w:t xml:space="preserve">A common theme across the Faculty and School SWOT analyses related to issues of space, and in particular the opportunities and threats presented by MECD. The Review Group sought reassurance that the Faculty was managing the </w:t>
      </w:r>
      <w:r w:rsidR="00575322">
        <w:rPr>
          <w:rFonts w:ascii="Arial" w:hAnsi="Arial" w:cs="Arial"/>
          <w:sz w:val="22"/>
          <w:szCs w:val="22"/>
          <w:lang w:val="en-GB"/>
        </w:rPr>
        <w:t>MECD project</w:t>
      </w:r>
      <w:r w:rsidR="00F124D4">
        <w:rPr>
          <w:rFonts w:ascii="Arial" w:hAnsi="Arial" w:cs="Arial"/>
          <w:sz w:val="22"/>
          <w:szCs w:val="22"/>
          <w:lang w:val="en-GB"/>
        </w:rPr>
        <w:t xml:space="preserve"> effectively in order to realise a step change for the Schools concerned. </w:t>
      </w:r>
      <w:r w:rsidR="007D3AE7">
        <w:rPr>
          <w:rFonts w:ascii="Arial" w:hAnsi="Arial" w:cs="Arial"/>
          <w:sz w:val="22"/>
          <w:szCs w:val="22"/>
          <w:lang w:val="en-GB"/>
        </w:rPr>
        <w:t>The Faculty acknowledged that the MECD project was a huge challenge, but also a significant opportunity to give the Engineering Schools the modern space</w:t>
      </w:r>
      <w:r w:rsidR="003A542B">
        <w:rPr>
          <w:rFonts w:ascii="Arial" w:hAnsi="Arial" w:cs="Arial"/>
          <w:sz w:val="22"/>
          <w:szCs w:val="22"/>
          <w:lang w:val="en-GB"/>
        </w:rPr>
        <w:t>, the interdisciplinary environment</w:t>
      </w:r>
      <w:r w:rsidR="007D3AE7">
        <w:rPr>
          <w:rFonts w:ascii="Arial" w:hAnsi="Arial" w:cs="Arial"/>
          <w:sz w:val="22"/>
          <w:szCs w:val="22"/>
          <w:lang w:val="en-GB"/>
        </w:rPr>
        <w:t xml:space="preserve"> and state-of-the-art facilities that they desperately needed. </w:t>
      </w:r>
      <w:r w:rsidR="009C7E7F">
        <w:rPr>
          <w:rFonts w:ascii="Arial" w:hAnsi="Arial" w:cs="Arial"/>
          <w:sz w:val="22"/>
          <w:szCs w:val="22"/>
          <w:lang w:val="en-GB"/>
        </w:rPr>
        <w:t xml:space="preserve">The Faculty emphasised the amount of planning being undertaken for </w:t>
      </w:r>
      <w:proofErr w:type="gramStart"/>
      <w:r w:rsidR="009C7E7F">
        <w:rPr>
          <w:rFonts w:ascii="Arial" w:hAnsi="Arial" w:cs="Arial"/>
          <w:sz w:val="22"/>
          <w:szCs w:val="22"/>
          <w:lang w:val="en-GB"/>
        </w:rPr>
        <w:t>the decant</w:t>
      </w:r>
      <w:proofErr w:type="gramEnd"/>
      <w:r w:rsidR="009C7E7F">
        <w:rPr>
          <w:rFonts w:ascii="Arial" w:hAnsi="Arial" w:cs="Arial"/>
          <w:sz w:val="22"/>
          <w:szCs w:val="22"/>
          <w:lang w:val="en-GB"/>
        </w:rPr>
        <w:t xml:space="preserve"> and eventual re-homing of the Engineering Schools while acknowledging the disruption that would be caused over the next four years. </w:t>
      </w:r>
      <w:r w:rsidR="009C7E7F" w:rsidRPr="009C7E7F">
        <w:rPr>
          <w:rFonts w:ascii="Arial" w:hAnsi="Arial" w:cs="Arial"/>
          <w:sz w:val="22"/>
          <w:szCs w:val="22"/>
          <w:lang w:val="en-GB"/>
        </w:rPr>
        <w:t xml:space="preserve">MECD </w:t>
      </w:r>
      <w:r w:rsidR="009C7E7F">
        <w:rPr>
          <w:rFonts w:ascii="Arial" w:hAnsi="Arial" w:cs="Arial"/>
          <w:sz w:val="22"/>
          <w:szCs w:val="22"/>
          <w:lang w:val="en-GB"/>
        </w:rPr>
        <w:t xml:space="preserve">also </w:t>
      </w:r>
      <w:r w:rsidR="009C7E7F" w:rsidRPr="009C7E7F">
        <w:rPr>
          <w:rFonts w:ascii="Arial" w:hAnsi="Arial" w:cs="Arial"/>
          <w:sz w:val="22"/>
          <w:szCs w:val="22"/>
          <w:lang w:val="en-GB"/>
        </w:rPr>
        <w:t>presented a great opportunity</w:t>
      </w:r>
      <w:r w:rsidR="009C7E7F">
        <w:rPr>
          <w:rFonts w:ascii="Arial" w:hAnsi="Arial" w:cs="Arial"/>
          <w:sz w:val="22"/>
          <w:szCs w:val="22"/>
          <w:lang w:val="en-GB"/>
        </w:rPr>
        <w:t xml:space="preserve"> to work differently and change the culture around certain processes</w:t>
      </w:r>
      <w:r w:rsidR="003A542B">
        <w:rPr>
          <w:rFonts w:ascii="Arial" w:hAnsi="Arial" w:cs="Arial"/>
          <w:sz w:val="22"/>
          <w:szCs w:val="22"/>
          <w:lang w:val="en-GB"/>
        </w:rPr>
        <w:t xml:space="preserve"> as well as teaching and student interaction</w:t>
      </w:r>
      <w:r w:rsidR="009C7E7F" w:rsidRPr="009C7E7F">
        <w:rPr>
          <w:rFonts w:ascii="Arial" w:hAnsi="Arial" w:cs="Arial"/>
          <w:sz w:val="22"/>
          <w:szCs w:val="22"/>
          <w:lang w:val="en-GB"/>
        </w:rPr>
        <w:t xml:space="preserve">. </w:t>
      </w:r>
      <w:r w:rsidR="009C7E7F">
        <w:rPr>
          <w:rFonts w:ascii="Arial" w:hAnsi="Arial" w:cs="Arial"/>
          <w:sz w:val="22"/>
          <w:szCs w:val="22"/>
          <w:lang w:val="en-GB"/>
        </w:rPr>
        <w:t xml:space="preserve">MECD </w:t>
      </w:r>
      <w:r w:rsidR="003A542B">
        <w:rPr>
          <w:rFonts w:ascii="Arial" w:hAnsi="Arial" w:cs="Arial"/>
          <w:sz w:val="22"/>
          <w:szCs w:val="22"/>
          <w:lang w:val="en-GB"/>
        </w:rPr>
        <w:t xml:space="preserve">was viewed </w:t>
      </w:r>
      <w:r w:rsidR="009C7E7F">
        <w:rPr>
          <w:rFonts w:ascii="Arial" w:hAnsi="Arial" w:cs="Arial"/>
          <w:sz w:val="22"/>
          <w:szCs w:val="22"/>
          <w:lang w:val="en-GB"/>
        </w:rPr>
        <w:t>as an opportunity to prioritise research activities</w:t>
      </w:r>
      <w:r w:rsidR="003A542B">
        <w:rPr>
          <w:rFonts w:ascii="Arial" w:hAnsi="Arial" w:cs="Arial"/>
          <w:sz w:val="22"/>
          <w:szCs w:val="22"/>
          <w:lang w:val="en-GB"/>
        </w:rPr>
        <w:t xml:space="preserve"> and set high quality thresholds</w:t>
      </w:r>
      <w:r w:rsidR="009C7E7F">
        <w:rPr>
          <w:rFonts w:ascii="Arial" w:hAnsi="Arial" w:cs="Arial"/>
          <w:sz w:val="22"/>
          <w:szCs w:val="22"/>
          <w:lang w:val="en-GB"/>
        </w:rPr>
        <w:t>, moving away from some areas and investing in others. The</w:t>
      </w:r>
      <w:r w:rsidR="00990A4F">
        <w:rPr>
          <w:rFonts w:ascii="Arial" w:hAnsi="Arial" w:cs="Arial"/>
          <w:sz w:val="22"/>
          <w:szCs w:val="22"/>
          <w:lang w:val="en-GB"/>
        </w:rPr>
        <w:t xml:space="preserve"> Faculty </w:t>
      </w:r>
      <w:r w:rsidR="009C7E7F">
        <w:rPr>
          <w:rFonts w:ascii="Arial" w:hAnsi="Arial" w:cs="Arial"/>
          <w:sz w:val="22"/>
          <w:szCs w:val="22"/>
          <w:lang w:val="en-GB"/>
        </w:rPr>
        <w:t xml:space="preserve">was actively pursuing </w:t>
      </w:r>
      <w:r w:rsidR="007357B0">
        <w:rPr>
          <w:rFonts w:ascii="Arial" w:hAnsi="Arial" w:cs="Arial"/>
          <w:sz w:val="22"/>
          <w:szCs w:val="22"/>
          <w:lang w:val="en-GB"/>
        </w:rPr>
        <w:t xml:space="preserve">improved </w:t>
      </w:r>
      <w:r w:rsidR="009C7E7F">
        <w:rPr>
          <w:rFonts w:ascii="Arial" w:hAnsi="Arial" w:cs="Arial"/>
          <w:sz w:val="22"/>
          <w:szCs w:val="22"/>
          <w:lang w:val="en-GB"/>
        </w:rPr>
        <w:t>performance management to embed a high performance mind-set in staff before the move.</w:t>
      </w:r>
    </w:p>
    <w:p w:rsidR="009C7E7F" w:rsidRPr="00B80C73" w:rsidRDefault="009C7E7F" w:rsidP="00315315">
      <w:pPr>
        <w:tabs>
          <w:tab w:val="left" w:pos="561"/>
        </w:tabs>
        <w:ind w:left="567" w:hanging="567"/>
        <w:rPr>
          <w:rFonts w:ascii="Arial" w:hAnsi="Arial" w:cs="Arial"/>
          <w:sz w:val="18"/>
          <w:szCs w:val="18"/>
          <w:lang w:val="en-GB"/>
        </w:rPr>
      </w:pPr>
    </w:p>
    <w:p w:rsidR="00F17FC5" w:rsidRDefault="009C7E7F" w:rsidP="00315315">
      <w:pPr>
        <w:tabs>
          <w:tab w:val="left" w:pos="561"/>
        </w:tabs>
        <w:ind w:left="567" w:hanging="567"/>
        <w:rPr>
          <w:rFonts w:ascii="Arial" w:hAnsi="Arial" w:cs="Arial"/>
          <w:sz w:val="22"/>
          <w:szCs w:val="22"/>
          <w:lang w:val="en-GB"/>
        </w:rPr>
      </w:pPr>
      <w:r>
        <w:rPr>
          <w:rFonts w:ascii="Arial" w:hAnsi="Arial" w:cs="Arial"/>
          <w:sz w:val="22"/>
          <w:szCs w:val="22"/>
          <w:lang w:val="en-GB"/>
        </w:rPr>
        <w:tab/>
      </w:r>
      <w:r w:rsidR="00ED639B">
        <w:rPr>
          <w:rFonts w:ascii="Arial" w:hAnsi="Arial" w:cs="Arial"/>
          <w:sz w:val="22"/>
          <w:szCs w:val="22"/>
          <w:lang w:val="en-GB"/>
        </w:rPr>
        <w:t>S</w:t>
      </w:r>
      <w:r w:rsidR="007D3AE7">
        <w:rPr>
          <w:rFonts w:ascii="Arial" w:hAnsi="Arial" w:cs="Arial"/>
          <w:sz w:val="22"/>
          <w:szCs w:val="22"/>
          <w:lang w:val="en-GB"/>
        </w:rPr>
        <w:t>pace in other Schools, such as</w:t>
      </w:r>
      <w:r w:rsidR="00990A4F">
        <w:rPr>
          <w:rFonts w:ascii="Arial" w:hAnsi="Arial" w:cs="Arial"/>
          <w:sz w:val="22"/>
          <w:szCs w:val="22"/>
          <w:lang w:val="en-GB"/>
        </w:rPr>
        <w:t xml:space="preserve"> Earth, Atmospheric and Environmental Sciences </w:t>
      </w:r>
      <w:r w:rsidR="00A14ADF">
        <w:rPr>
          <w:rFonts w:ascii="Arial" w:hAnsi="Arial" w:cs="Arial"/>
          <w:sz w:val="22"/>
          <w:szCs w:val="22"/>
          <w:lang w:val="en-GB"/>
        </w:rPr>
        <w:t>(</w:t>
      </w:r>
      <w:r w:rsidR="007D3AE7">
        <w:rPr>
          <w:rFonts w:ascii="Arial" w:hAnsi="Arial" w:cs="Arial"/>
          <w:sz w:val="22"/>
          <w:szCs w:val="22"/>
          <w:lang w:val="en-GB"/>
        </w:rPr>
        <w:t>EA</w:t>
      </w:r>
      <w:r w:rsidR="00990A4F">
        <w:rPr>
          <w:rFonts w:ascii="Arial" w:hAnsi="Arial" w:cs="Arial"/>
          <w:sz w:val="22"/>
          <w:szCs w:val="22"/>
          <w:lang w:val="en-GB"/>
        </w:rPr>
        <w:t>E</w:t>
      </w:r>
      <w:r w:rsidR="007D3AE7">
        <w:rPr>
          <w:rFonts w:ascii="Arial" w:hAnsi="Arial" w:cs="Arial"/>
          <w:sz w:val="22"/>
          <w:szCs w:val="22"/>
          <w:lang w:val="en-GB"/>
        </w:rPr>
        <w:t>S</w:t>
      </w:r>
      <w:r w:rsidR="00A14ADF">
        <w:rPr>
          <w:rFonts w:ascii="Arial" w:hAnsi="Arial" w:cs="Arial"/>
          <w:sz w:val="22"/>
          <w:szCs w:val="22"/>
          <w:lang w:val="en-GB"/>
        </w:rPr>
        <w:t>) and Chemistry</w:t>
      </w:r>
      <w:r w:rsidR="007D3AE7">
        <w:rPr>
          <w:rFonts w:ascii="Arial" w:hAnsi="Arial" w:cs="Arial"/>
          <w:sz w:val="22"/>
          <w:szCs w:val="22"/>
          <w:lang w:val="en-GB"/>
        </w:rPr>
        <w:t>, was full to capacity</w:t>
      </w:r>
      <w:r w:rsidR="00A14ADF">
        <w:rPr>
          <w:rFonts w:ascii="Arial" w:hAnsi="Arial" w:cs="Arial"/>
          <w:sz w:val="22"/>
          <w:szCs w:val="22"/>
          <w:lang w:val="en-GB"/>
        </w:rPr>
        <w:t xml:space="preserve">. </w:t>
      </w:r>
      <w:r>
        <w:rPr>
          <w:rFonts w:ascii="Arial" w:hAnsi="Arial" w:cs="Arial"/>
          <w:sz w:val="22"/>
          <w:szCs w:val="22"/>
          <w:lang w:val="en-GB"/>
        </w:rPr>
        <w:t xml:space="preserve">The Faculty </w:t>
      </w:r>
      <w:r w:rsidR="003A542B">
        <w:rPr>
          <w:rFonts w:ascii="Arial" w:hAnsi="Arial" w:cs="Arial"/>
          <w:sz w:val="22"/>
          <w:szCs w:val="22"/>
          <w:lang w:val="en-GB"/>
        </w:rPr>
        <w:t xml:space="preserve">needed to look at the opportunities for interdisciplinary teaching and research using the new capital builds which </w:t>
      </w:r>
      <w:r>
        <w:rPr>
          <w:rFonts w:ascii="Arial" w:hAnsi="Arial" w:cs="Arial"/>
          <w:sz w:val="22"/>
          <w:szCs w:val="22"/>
          <w:lang w:val="en-GB"/>
        </w:rPr>
        <w:t>would help develop strategies to support the Schools not included in MECD</w:t>
      </w:r>
      <w:r w:rsidR="00AD40B3">
        <w:rPr>
          <w:rFonts w:ascii="Arial" w:hAnsi="Arial" w:cs="Arial"/>
          <w:sz w:val="22"/>
          <w:szCs w:val="22"/>
          <w:lang w:val="en-GB"/>
        </w:rPr>
        <w:t>. A</w:t>
      </w:r>
      <w:r>
        <w:rPr>
          <w:rFonts w:ascii="Arial" w:hAnsi="Arial" w:cs="Arial"/>
          <w:sz w:val="22"/>
          <w:szCs w:val="22"/>
          <w:lang w:val="en-GB"/>
        </w:rPr>
        <w:t xml:space="preserve">ll would be encouraged to engage across disciplines and share facilities, and to prioritise their space utilisation to get the best out </w:t>
      </w:r>
      <w:r w:rsidR="009E1A28">
        <w:rPr>
          <w:rFonts w:ascii="Arial" w:hAnsi="Arial" w:cs="Arial"/>
          <w:sz w:val="22"/>
          <w:szCs w:val="22"/>
          <w:lang w:val="en-GB"/>
        </w:rPr>
        <w:t>of the available</w:t>
      </w:r>
      <w:r>
        <w:rPr>
          <w:rFonts w:ascii="Arial" w:hAnsi="Arial" w:cs="Arial"/>
          <w:sz w:val="22"/>
          <w:szCs w:val="22"/>
          <w:lang w:val="en-GB"/>
        </w:rPr>
        <w:t xml:space="preserve"> infrastructure. However, although it was understood that the capital budget was finite and already under pressure, there were some </w:t>
      </w:r>
      <w:r w:rsidR="003A542B">
        <w:rPr>
          <w:rFonts w:ascii="Arial" w:hAnsi="Arial" w:cs="Arial"/>
          <w:sz w:val="22"/>
          <w:szCs w:val="22"/>
          <w:lang w:val="en-GB"/>
        </w:rPr>
        <w:t>ongoing investments in other areas</w:t>
      </w:r>
      <w:r>
        <w:rPr>
          <w:rFonts w:ascii="Arial" w:hAnsi="Arial" w:cs="Arial"/>
          <w:sz w:val="22"/>
          <w:szCs w:val="22"/>
          <w:lang w:val="en-GB"/>
        </w:rPr>
        <w:t>, for example in Chemistry, and the Schuster extension.</w:t>
      </w:r>
    </w:p>
    <w:p w:rsidR="00823069" w:rsidRPr="00B80C73" w:rsidRDefault="00823069" w:rsidP="00315315">
      <w:pPr>
        <w:tabs>
          <w:tab w:val="left" w:pos="561"/>
        </w:tabs>
        <w:ind w:left="567" w:hanging="567"/>
        <w:rPr>
          <w:rFonts w:ascii="Arial" w:hAnsi="Arial" w:cs="Arial"/>
          <w:sz w:val="18"/>
          <w:szCs w:val="18"/>
          <w:lang w:val="en-GB"/>
        </w:rPr>
      </w:pPr>
    </w:p>
    <w:p w:rsidR="00380F03" w:rsidRDefault="00B80C73" w:rsidP="00315315">
      <w:pPr>
        <w:tabs>
          <w:tab w:val="left" w:pos="561"/>
        </w:tabs>
        <w:ind w:left="567" w:hanging="567"/>
        <w:rPr>
          <w:rFonts w:ascii="Arial" w:hAnsi="Arial" w:cs="Arial"/>
          <w:sz w:val="22"/>
          <w:szCs w:val="22"/>
          <w:lang w:val="en-GB"/>
        </w:rPr>
      </w:pPr>
      <w:r>
        <w:rPr>
          <w:rFonts w:ascii="Arial" w:hAnsi="Arial" w:cs="Arial"/>
          <w:sz w:val="22"/>
          <w:szCs w:val="22"/>
          <w:lang w:val="en-GB"/>
        </w:rPr>
        <w:tab/>
      </w:r>
      <w:r w:rsidR="00823069">
        <w:rPr>
          <w:rFonts w:ascii="Arial" w:hAnsi="Arial" w:cs="Arial"/>
          <w:sz w:val="22"/>
          <w:szCs w:val="22"/>
          <w:lang w:val="en-GB"/>
        </w:rPr>
        <w:t>Some Schools had noted the difficulty in recruiting high quality staff in key areas, mainly due to the competitiv</w:t>
      </w:r>
      <w:r w:rsidR="009E1A28">
        <w:rPr>
          <w:rFonts w:ascii="Arial" w:hAnsi="Arial" w:cs="Arial"/>
          <w:sz w:val="22"/>
          <w:szCs w:val="22"/>
          <w:lang w:val="en-GB"/>
        </w:rPr>
        <w:t xml:space="preserve">e profile of specific subjects for example in </w:t>
      </w:r>
      <w:r w:rsidR="00823069">
        <w:rPr>
          <w:rFonts w:ascii="Arial" w:hAnsi="Arial" w:cs="Arial"/>
          <w:sz w:val="22"/>
          <w:szCs w:val="22"/>
          <w:lang w:val="en-GB"/>
        </w:rPr>
        <w:t xml:space="preserve">statistics and some engineering disciplines. </w:t>
      </w:r>
      <w:r w:rsidR="00380F03">
        <w:rPr>
          <w:rFonts w:ascii="Arial" w:hAnsi="Arial" w:cs="Arial"/>
          <w:sz w:val="22"/>
          <w:szCs w:val="22"/>
          <w:lang w:val="en-GB"/>
        </w:rPr>
        <w:t>MACE was mitigating against this difficulty by focusing on the development of early career staff. Another solution could be to offer higher salaries but this was not ideal.</w:t>
      </w:r>
    </w:p>
    <w:p w:rsidR="00AD40B3" w:rsidRPr="00B80C73" w:rsidRDefault="00380F03" w:rsidP="00315315">
      <w:pPr>
        <w:tabs>
          <w:tab w:val="left" w:pos="561"/>
        </w:tabs>
        <w:ind w:left="567" w:hanging="567"/>
        <w:rPr>
          <w:rFonts w:ascii="Arial" w:hAnsi="Arial" w:cs="Arial"/>
          <w:sz w:val="16"/>
          <w:szCs w:val="16"/>
          <w:lang w:val="en-GB"/>
        </w:rPr>
      </w:pPr>
      <w:r>
        <w:rPr>
          <w:rFonts w:ascii="Arial" w:hAnsi="Arial" w:cs="Arial"/>
          <w:sz w:val="22"/>
          <w:szCs w:val="22"/>
          <w:lang w:val="en-GB"/>
        </w:rPr>
        <w:tab/>
      </w:r>
    </w:p>
    <w:p w:rsidR="00380F03" w:rsidRDefault="00AD40B3" w:rsidP="00315315">
      <w:pPr>
        <w:tabs>
          <w:tab w:val="left" w:pos="561"/>
        </w:tabs>
        <w:ind w:left="567" w:hanging="567"/>
        <w:rPr>
          <w:rFonts w:ascii="Arial" w:hAnsi="Arial" w:cs="Arial"/>
          <w:sz w:val="22"/>
          <w:szCs w:val="22"/>
          <w:lang w:val="en-GB"/>
        </w:rPr>
      </w:pPr>
      <w:r>
        <w:rPr>
          <w:rFonts w:ascii="Arial" w:hAnsi="Arial" w:cs="Arial"/>
          <w:sz w:val="22"/>
          <w:szCs w:val="22"/>
          <w:lang w:val="en-GB"/>
        </w:rPr>
        <w:tab/>
      </w:r>
      <w:r w:rsidR="004B10A9">
        <w:rPr>
          <w:rFonts w:ascii="Arial" w:hAnsi="Arial" w:cs="Arial"/>
          <w:sz w:val="22"/>
          <w:szCs w:val="22"/>
          <w:lang w:val="en-GB"/>
        </w:rPr>
        <w:t>Another</w:t>
      </w:r>
      <w:r w:rsidR="0097526E">
        <w:rPr>
          <w:rFonts w:ascii="Arial" w:hAnsi="Arial" w:cs="Arial"/>
          <w:sz w:val="22"/>
          <w:szCs w:val="22"/>
          <w:lang w:val="en-GB"/>
        </w:rPr>
        <w:t xml:space="preserve"> theme across the SWOT analyses was that of staff workload and the associated effects on stress levels and morale. The Faculty recognised </w:t>
      </w:r>
      <w:r w:rsidR="003A542B">
        <w:rPr>
          <w:rFonts w:ascii="Arial" w:hAnsi="Arial" w:cs="Arial"/>
          <w:sz w:val="22"/>
          <w:szCs w:val="22"/>
          <w:lang w:val="en-GB"/>
        </w:rPr>
        <w:t>that it had high SSRs</w:t>
      </w:r>
      <w:r w:rsidR="0097526E">
        <w:rPr>
          <w:rFonts w:ascii="Arial" w:hAnsi="Arial" w:cs="Arial"/>
          <w:sz w:val="22"/>
          <w:szCs w:val="22"/>
          <w:lang w:val="en-GB"/>
        </w:rPr>
        <w:t xml:space="preserve">, and planned to </w:t>
      </w:r>
      <w:r w:rsidR="0097526E">
        <w:rPr>
          <w:rFonts w:ascii="Arial" w:hAnsi="Arial" w:cs="Arial"/>
          <w:sz w:val="22"/>
          <w:szCs w:val="22"/>
          <w:lang w:val="en-GB"/>
        </w:rPr>
        <w:lastRenderedPageBreak/>
        <w:t xml:space="preserve">undertake modelling to analyse workloads. </w:t>
      </w:r>
      <w:r w:rsidR="003A542B">
        <w:rPr>
          <w:rFonts w:ascii="Arial" w:hAnsi="Arial" w:cs="Arial"/>
          <w:sz w:val="22"/>
          <w:szCs w:val="22"/>
          <w:lang w:val="en-GB"/>
        </w:rPr>
        <w:t>It agreed</w:t>
      </w:r>
      <w:r w:rsidR="0097526E">
        <w:rPr>
          <w:rFonts w:ascii="Arial" w:hAnsi="Arial" w:cs="Arial"/>
          <w:sz w:val="22"/>
          <w:szCs w:val="22"/>
          <w:lang w:val="en-GB"/>
        </w:rPr>
        <w:t xml:space="preserve"> that over-assessment might be an issue with a high proportion of continuous assessment</w:t>
      </w:r>
      <w:r w:rsidR="003A542B">
        <w:rPr>
          <w:rFonts w:ascii="Arial" w:hAnsi="Arial" w:cs="Arial"/>
          <w:sz w:val="22"/>
          <w:szCs w:val="22"/>
          <w:lang w:val="en-GB"/>
        </w:rPr>
        <w:t xml:space="preserve"> in some areas</w:t>
      </w:r>
      <w:r w:rsidR="0097526E">
        <w:rPr>
          <w:rFonts w:ascii="Arial" w:hAnsi="Arial" w:cs="Arial"/>
          <w:sz w:val="22"/>
          <w:szCs w:val="22"/>
          <w:lang w:val="en-GB"/>
        </w:rPr>
        <w:t xml:space="preserve">, as well as over-supervision in </w:t>
      </w:r>
      <w:r w:rsidR="003A542B">
        <w:rPr>
          <w:rFonts w:ascii="Arial" w:hAnsi="Arial" w:cs="Arial"/>
          <w:sz w:val="22"/>
          <w:szCs w:val="22"/>
          <w:lang w:val="en-GB"/>
        </w:rPr>
        <w:t xml:space="preserve">some </w:t>
      </w:r>
      <w:r w:rsidR="0097526E">
        <w:rPr>
          <w:rFonts w:ascii="Arial" w:hAnsi="Arial" w:cs="Arial"/>
          <w:sz w:val="22"/>
          <w:szCs w:val="22"/>
          <w:lang w:val="en-GB"/>
        </w:rPr>
        <w:t>labs. However, there was a benefit to students with this system as they had more contact time with staff</w:t>
      </w:r>
      <w:r w:rsidR="003A542B">
        <w:rPr>
          <w:rFonts w:ascii="Arial" w:hAnsi="Arial" w:cs="Arial"/>
          <w:sz w:val="22"/>
          <w:szCs w:val="22"/>
          <w:lang w:val="en-GB"/>
        </w:rPr>
        <w:t>, and this linked to student satisfaction</w:t>
      </w:r>
      <w:r w:rsidR="0097526E">
        <w:rPr>
          <w:rFonts w:ascii="Arial" w:hAnsi="Arial" w:cs="Arial"/>
          <w:sz w:val="22"/>
          <w:szCs w:val="22"/>
          <w:lang w:val="en-GB"/>
        </w:rPr>
        <w:t xml:space="preserve">. It was also noted that the PGT teaching structure </w:t>
      </w:r>
      <w:r w:rsidR="00654F42">
        <w:rPr>
          <w:rFonts w:ascii="Arial" w:hAnsi="Arial" w:cs="Arial"/>
          <w:sz w:val="22"/>
          <w:szCs w:val="22"/>
          <w:lang w:val="en-GB"/>
        </w:rPr>
        <w:t>ran</w:t>
      </w:r>
      <w:r w:rsidR="0097526E">
        <w:rPr>
          <w:rFonts w:ascii="Arial" w:hAnsi="Arial" w:cs="Arial"/>
          <w:sz w:val="22"/>
          <w:szCs w:val="22"/>
          <w:lang w:val="en-GB"/>
        </w:rPr>
        <w:t xml:space="preserve"> over </w:t>
      </w:r>
      <w:r w:rsidR="00654F42">
        <w:rPr>
          <w:rFonts w:ascii="Arial" w:hAnsi="Arial" w:cs="Arial"/>
          <w:sz w:val="22"/>
          <w:szCs w:val="22"/>
          <w:lang w:val="en-GB"/>
        </w:rPr>
        <w:t xml:space="preserve">the full </w:t>
      </w:r>
      <w:r w:rsidR="0097526E">
        <w:rPr>
          <w:rFonts w:ascii="Arial" w:hAnsi="Arial" w:cs="Arial"/>
          <w:sz w:val="22"/>
          <w:szCs w:val="22"/>
          <w:lang w:val="en-GB"/>
        </w:rPr>
        <w:t>twelve months</w:t>
      </w:r>
      <w:r w:rsidR="00654F42">
        <w:rPr>
          <w:rFonts w:ascii="Arial" w:hAnsi="Arial" w:cs="Arial"/>
          <w:sz w:val="22"/>
          <w:szCs w:val="22"/>
          <w:lang w:val="en-GB"/>
        </w:rPr>
        <w:t xml:space="preserve"> which made it difficult for staff to carve out research time. A more efficient method of timetabling would be welcomed, </w:t>
      </w:r>
      <w:r w:rsidR="009E1A28">
        <w:rPr>
          <w:rFonts w:ascii="Arial" w:hAnsi="Arial" w:cs="Arial"/>
          <w:sz w:val="22"/>
          <w:szCs w:val="22"/>
          <w:lang w:val="en-GB"/>
        </w:rPr>
        <w:t xml:space="preserve">to allow </w:t>
      </w:r>
      <w:r w:rsidR="003A542B">
        <w:rPr>
          <w:rFonts w:ascii="Arial" w:hAnsi="Arial" w:cs="Arial"/>
          <w:sz w:val="22"/>
          <w:szCs w:val="22"/>
          <w:lang w:val="en-GB"/>
        </w:rPr>
        <w:t>quality time for both teaching and research</w:t>
      </w:r>
      <w:r w:rsidR="00654F42">
        <w:rPr>
          <w:rFonts w:ascii="Arial" w:hAnsi="Arial" w:cs="Arial"/>
          <w:sz w:val="22"/>
          <w:szCs w:val="22"/>
          <w:lang w:val="en-GB"/>
        </w:rPr>
        <w:t>.</w:t>
      </w:r>
    </w:p>
    <w:p w:rsidR="00654F42" w:rsidRDefault="00654F42" w:rsidP="00315315">
      <w:pPr>
        <w:tabs>
          <w:tab w:val="left" w:pos="561"/>
        </w:tabs>
        <w:ind w:left="567" w:hanging="567"/>
        <w:rPr>
          <w:rFonts w:ascii="Arial" w:hAnsi="Arial" w:cs="Arial"/>
          <w:sz w:val="22"/>
          <w:szCs w:val="22"/>
          <w:lang w:val="en-GB"/>
        </w:rPr>
      </w:pPr>
    </w:p>
    <w:p w:rsidR="00654F42" w:rsidRPr="00654F42" w:rsidRDefault="00654F42" w:rsidP="00315315">
      <w:pPr>
        <w:tabs>
          <w:tab w:val="left" w:pos="561"/>
        </w:tabs>
        <w:ind w:left="567" w:hanging="567"/>
        <w:rPr>
          <w:rFonts w:ascii="Arial" w:hAnsi="Arial" w:cs="Arial"/>
          <w:sz w:val="22"/>
          <w:szCs w:val="22"/>
          <w:lang w:val="en-GB"/>
        </w:rPr>
      </w:pPr>
      <w:r>
        <w:rPr>
          <w:rFonts w:ascii="Arial" w:hAnsi="Arial" w:cs="Arial"/>
          <w:sz w:val="22"/>
          <w:szCs w:val="22"/>
          <w:lang w:val="en-GB"/>
        </w:rPr>
        <w:tab/>
        <w:t xml:space="preserve">The Faculty had noted “managing underperforming staff” as a weakness, which was also reflected in some of the Schools’ SWOT analyses. </w:t>
      </w:r>
      <w:r w:rsidR="00311C07">
        <w:rPr>
          <w:rFonts w:ascii="Arial" w:hAnsi="Arial" w:cs="Arial"/>
          <w:sz w:val="22"/>
          <w:szCs w:val="22"/>
          <w:lang w:val="en-GB"/>
        </w:rPr>
        <w:t>There</w:t>
      </w:r>
      <w:r>
        <w:rPr>
          <w:rFonts w:ascii="Arial" w:hAnsi="Arial" w:cs="Arial"/>
          <w:sz w:val="22"/>
          <w:szCs w:val="22"/>
          <w:lang w:val="en-GB"/>
        </w:rPr>
        <w:t xml:space="preserve"> had been a </w:t>
      </w:r>
      <w:r w:rsidR="007357B0">
        <w:rPr>
          <w:rFonts w:ascii="Arial" w:hAnsi="Arial" w:cs="Arial"/>
          <w:sz w:val="22"/>
          <w:szCs w:val="22"/>
          <w:lang w:val="en-GB"/>
        </w:rPr>
        <w:t xml:space="preserve">slight </w:t>
      </w:r>
      <w:r>
        <w:rPr>
          <w:rFonts w:ascii="Arial" w:hAnsi="Arial" w:cs="Arial"/>
          <w:sz w:val="22"/>
          <w:szCs w:val="22"/>
          <w:lang w:val="en-GB"/>
        </w:rPr>
        <w:t xml:space="preserve">change in emphasis since the REF, </w:t>
      </w:r>
      <w:r w:rsidR="007357B0">
        <w:rPr>
          <w:rFonts w:ascii="Arial" w:hAnsi="Arial" w:cs="Arial"/>
          <w:sz w:val="22"/>
          <w:szCs w:val="22"/>
          <w:lang w:val="en-GB"/>
        </w:rPr>
        <w:t xml:space="preserve">with </w:t>
      </w:r>
      <w:r>
        <w:rPr>
          <w:rFonts w:ascii="Arial" w:hAnsi="Arial" w:cs="Arial"/>
          <w:sz w:val="22"/>
          <w:szCs w:val="22"/>
          <w:lang w:val="en-GB"/>
        </w:rPr>
        <w:t xml:space="preserve">focus now more </w:t>
      </w:r>
      <w:r w:rsidR="00990A4F">
        <w:rPr>
          <w:rFonts w:ascii="Arial" w:hAnsi="Arial" w:cs="Arial"/>
          <w:sz w:val="22"/>
          <w:szCs w:val="22"/>
          <w:lang w:val="en-GB"/>
        </w:rPr>
        <w:t xml:space="preserve">on developing </w:t>
      </w:r>
      <w:r>
        <w:rPr>
          <w:rFonts w:ascii="Arial" w:hAnsi="Arial" w:cs="Arial"/>
          <w:sz w:val="22"/>
          <w:szCs w:val="22"/>
          <w:lang w:val="en-GB"/>
        </w:rPr>
        <w:t xml:space="preserve">the middle </w:t>
      </w:r>
      <w:r w:rsidR="00311C07">
        <w:rPr>
          <w:rFonts w:ascii="Arial" w:hAnsi="Arial" w:cs="Arial"/>
          <w:sz w:val="22"/>
          <w:szCs w:val="22"/>
          <w:lang w:val="en-GB"/>
        </w:rPr>
        <w:t xml:space="preserve">performers than on </w:t>
      </w:r>
      <w:r w:rsidR="003A542B">
        <w:rPr>
          <w:rFonts w:ascii="Arial" w:hAnsi="Arial" w:cs="Arial"/>
          <w:sz w:val="22"/>
          <w:szCs w:val="22"/>
          <w:lang w:val="en-GB"/>
        </w:rPr>
        <w:t>underperformance</w:t>
      </w:r>
      <w:r w:rsidR="007357B0">
        <w:rPr>
          <w:rFonts w:ascii="Arial" w:hAnsi="Arial" w:cs="Arial"/>
          <w:sz w:val="22"/>
          <w:szCs w:val="22"/>
          <w:lang w:val="en-GB"/>
        </w:rPr>
        <w:t xml:space="preserve"> as such</w:t>
      </w:r>
      <w:r w:rsidR="00311C07">
        <w:rPr>
          <w:rFonts w:ascii="Arial" w:hAnsi="Arial" w:cs="Arial"/>
          <w:sz w:val="22"/>
          <w:szCs w:val="22"/>
          <w:lang w:val="en-GB"/>
        </w:rPr>
        <w:t xml:space="preserve">. It was noted that the Schools worked hard at performance management and that </w:t>
      </w:r>
      <w:r w:rsidR="00990A4F">
        <w:rPr>
          <w:rFonts w:ascii="Arial" w:hAnsi="Arial" w:cs="Arial"/>
          <w:sz w:val="22"/>
          <w:szCs w:val="22"/>
          <w:lang w:val="en-GB"/>
        </w:rPr>
        <w:t>underperform</w:t>
      </w:r>
      <w:r w:rsidR="007357B0">
        <w:rPr>
          <w:rFonts w:ascii="Arial" w:hAnsi="Arial" w:cs="Arial"/>
          <w:sz w:val="22"/>
          <w:szCs w:val="22"/>
          <w:lang w:val="en-GB"/>
        </w:rPr>
        <w:t>ing</w:t>
      </w:r>
      <w:r w:rsidR="00990A4F">
        <w:rPr>
          <w:rFonts w:ascii="Arial" w:hAnsi="Arial" w:cs="Arial"/>
          <w:sz w:val="22"/>
          <w:szCs w:val="22"/>
          <w:lang w:val="en-GB"/>
        </w:rPr>
        <w:t xml:space="preserve"> </w:t>
      </w:r>
      <w:r w:rsidR="00311C07">
        <w:rPr>
          <w:rFonts w:ascii="Arial" w:hAnsi="Arial" w:cs="Arial"/>
          <w:sz w:val="22"/>
          <w:szCs w:val="22"/>
          <w:lang w:val="en-GB"/>
        </w:rPr>
        <w:t xml:space="preserve">cases </w:t>
      </w:r>
      <w:r w:rsidR="003A542B">
        <w:rPr>
          <w:rFonts w:ascii="Arial" w:hAnsi="Arial" w:cs="Arial"/>
          <w:sz w:val="22"/>
          <w:szCs w:val="22"/>
          <w:lang w:val="en-GB"/>
        </w:rPr>
        <w:t>were demanding and time-consuming</w:t>
      </w:r>
      <w:r w:rsidR="00311C07">
        <w:rPr>
          <w:rFonts w:ascii="Arial" w:hAnsi="Arial" w:cs="Arial"/>
          <w:sz w:val="22"/>
          <w:szCs w:val="22"/>
          <w:lang w:val="en-GB"/>
        </w:rPr>
        <w:t xml:space="preserve">, and that sometimes staff </w:t>
      </w:r>
      <w:r w:rsidR="003A542B">
        <w:rPr>
          <w:rFonts w:ascii="Arial" w:hAnsi="Arial" w:cs="Arial"/>
          <w:sz w:val="22"/>
          <w:szCs w:val="22"/>
          <w:lang w:val="en-GB"/>
        </w:rPr>
        <w:t>were not aware</w:t>
      </w:r>
      <w:r w:rsidR="00311C07">
        <w:rPr>
          <w:rFonts w:ascii="Arial" w:hAnsi="Arial" w:cs="Arial"/>
          <w:sz w:val="22"/>
          <w:szCs w:val="22"/>
          <w:lang w:val="en-GB"/>
        </w:rPr>
        <w:t xml:space="preserve"> that they </w:t>
      </w:r>
      <w:r w:rsidR="009E1A28">
        <w:rPr>
          <w:rFonts w:ascii="Arial" w:hAnsi="Arial" w:cs="Arial"/>
          <w:sz w:val="22"/>
          <w:szCs w:val="22"/>
          <w:lang w:val="en-GB"/>
        </w:rPr>
        <w:t>were</w:t>
      </w:r>
      <w:r w:rsidR="00311C07">
        <w:rPr>
          <w:rFonts w:ascii="Arial" w:hAnsi="Arial" w:cs="Arial"/>
          <w:sz w:val="22"/>
          <w:szCs w:val="22"/>
          <w:lang w:val="en-GB"/>
        </w:rPr>
        <w:t xml:space="preserve"> underperforming.</w:t>
      </w:r>
      <w:r w:rsidR="00AD40B3">
        <w:rPr>
          <w:rFonts w:ascii="Arial" w:hAnsi="Arial" w:cs="Arial"/>
          <w:sz w:val="22"/>
          <w:szCs w:val="22"/>
          <w:lang w:val="en-GB"/>
        </w:rPr>
        <w:t xml:space="preserve"> </w:t>
      </w:r>
      <w:r w:rsidR="003A542B">
        <w:rPr>
          <w:rFonts w:ascii="Arial" w:hAnsi="Arial" w:cs="Arial"/>
          <w:sz w:val="22"/>
          <w:szCs w:val="22"/>
          <w:lang w:val="en-GB"/>
        </w:rPr>
        <w:t xml:space="preserve">Performance management was challenging for </w:t>
      </w:r>
      <w:r w:rsidR="00AD40B3">
        <w:rPr>
          <w:rFonts w:ascii="Arial" w:hAnsi="Arial" w:cs="Arial"/>
          <w:sz w:val="22"/>
          <w:szCs w:val="22"/>
          <w:lang w:val="en-GB"/>
        </w:rPr>
        <w:t>Heads of School</w:t>
      </w:r>
      <w:r w:rsidR="003A542B">
        <w:rPr>
          <w:rFonts w:ascii="Arial" w:hAnsi="Arial" w:cs="Arial"/>
          <w:sz w:val="22"/>
          <w:szCs w:val="22"/>
          <w:lang w:val="en-GB"/>
        </w:rPr>
        <w:t xml:space="preserve"> and the support of tier 4 managers was key as well as the support of HR partners and H</w:t>
      </w:r>
      <w:r w:rsidR="00AD40B3">
        <w:rPr>
          <w:rFonts w:ascii="Arial" w:hAnsi="Arial" w:cs="Arial"/>
          <w:sz w:val="22"/>
          <w:szCs w:val="22"/>
          <w:lang w:val="en-GB"/>
        </w:rPr>
        <w:t>eads of School Administration</w:t>
      </w:r>
      <w:r w:rsidR="003A542B">
        <w:rPr>
          <w:rFonts w:ascii="Arial" w:hAnsi="Arial" w:cs="Arial"/>
          <w:sz w:val="22"/>
          <w:szCs w:val="22"/>
          <w:lang w:val="en-GB"/>
        </w:rPr>
        <w:t>.</w:t>
      </w:r>
      <w:r w:rsidR="00311C07">
        <w:rPr>
          <w:rFonts w:ascii="Arial" w:hAnsi="Arial" w:cs="Arial"/>
          <w:sz w:val="22"/>
          <w:szCs w:val="22"/>
          <w:lang w:val="en-GB"/>
        </w:rPr>
        <w:t xml:space="preserve"> The Review Group </w:t>
      </w:r>
      <w:r w:rsidR="00305DC4">
        <w:rPr>
          <w:rFonts w:ascii="Arial" w:hAnsi="Arial" w:cs="Arial"/>
          <w:sz w:val="22"/>
          <w:szCs w:val="22"/>
          <w:lang w:val="en-GB"/>
        </w:rPr>
        <w:t xml:space="preserve">asked how well the P&amp;DR process was used, </w:t>
      </w:r>
      <w:r w:rsidR="00427B11">
        <w:rPr>
          <w:rFonts w:ascii="Arial" w:hAnsi="Arial" w:cs="Arial"/>
          <w:sz w:val="22"/>
          <w:szCs w:val="22"/>
          <w:lang w:val="en-GB"/>
        </w:rPr>
        <w:t xml:space="preserve">noting the low scores in the staff survey, </w:t>
      </w:r>
      <w:r w:rsidR="00305DC4">
        <w:rPr>
          <w:rFonts w:ascii="Arial" w:hAnsi="Arial" w:cs="Arial"/>
          <w:sz w:val="22"/>
          <w:szCs w:val="22"/>
          <w:lang w:val="en-GB"/>
        </w:rPr>
        <w:t xml:space="preserve">and reminded Schools that setting </w:t>
      </w:r>
      <w:r w:rsidR="003A542B">
        <w:rPr>
          <w:rFonts w:ascii="Arial" w:hAnsi="Arial" w:cs="Arial"/>
          <w:sz w:val="22"/>
          <w:szCs w:val="22"/>
          <w:lang w:val="en-GB"/>
        </w:rPr>
        <w:t>clear</w:t>
      </w:r>
      <w:r w:rsidR="00AD40B3">
        <w:rPr>
          <w:rFonts w:ascii="Arial" w:hAnsi="Arial" w:cs="Arial"/>
          <w:sz w:val="22"/>
          <w:szCs w:val="22"/>
          <w:lang w:val="en-GB"/>
        </w:rPr>
        <w:t xml:space="preserve"> </w:t>
      </w:r>
      <w:r w:rsidR="00305DC4">
        <w:rPr>
          <w:rFonts w:ascii="Arial" w:hAnsi="Arial" w:cs="Arial"/>
          <w:sz w:val="22"/>
          <w:szCs w:val="22"/>
          <w:lang w:val="en-GB"/>
        </w:rPr>
        <w:t xml:space="preserve">targets and objectives was key, and that the process should be about </w:t>
      </w:r>
      <w:r w:rsidR="003A542B">
        <w:rPr>
          <w:rFonts w:ascii="Arial" w:hAnsi="Arial" w:cs="Arial"/>
          <w:sz w:val="22"/>
          <w:szCs w:val="22"/>
          <w:lang w:val="en-GB"/>
        </w:rPr>
        <w:t>optimising performance</w:t>
      </w:r>
      <w:r w:rsidR="00305DC4">
        <w:rPr>
          <w:rFonts w:ascii="Arial" w:hAnsi="Arial" w:cs="Arial"/>
          <w:sz w:val="22"/>
          <w:szCs w:val="22"/>
          <w:lang w:val="en-GB"/>
        </w:rPr>
        <w:t xml:space="preserve">. The Schools reported that </w:t>
      </w:r>
      <w:r w:rsidR="003A542B">
        <w:rPr>
          <w:rFonts w:ascii="Arial" w:hAnsi="Arial" w:cs="Arial"/>
          <w:sz w:val="22"/>
          <w:szCs w:val="22"/>
          <w:lang w:val="en-GB"/>
        </w:rPr>
        <w:t xml:space="preserve">they were developing </w:t>
      </w:r>
      <w:r w:rsidR="00305DC4">
        <w:rPr>
          <w:rFonts w:ascii="Arial" w:hAnsi="Arial" w:cs="Arial"/>
          <w:sz w:val="22"/>
          <w:szCs w:val="22"/>
          <w:lang w:val="en-GB"/>
        </w:rPr>
        <w:t>P&amp;DR</w:t>
      </w:r>
      <w:r w:rsidR="003A542B">
        <w:rPr>
          <w:rFonts w:ascii="Arial" w:hAnsi="Arial" w:cs="Arial"/>
          <w:sz w:val="22"/>
          <w:szCs w:val="22"/>
          <w:lang w:val="en-GB"/>
        </w:rPr>
        <w:t>s, h</w:t>
      </w:r>
      <w:r w:rsidR="00305DC4">
        <w:rPr>
          <w:rFonts w:ascii="Arial" w:hAnsi="Arial" w:cs="Arial"/>
          <w:sz w:val="22"/>
          <w:szCs w:val="22"/>
          <w:lang w:val="en-GB"/>
        </w:rPr>
        <w:t>owever, when</w:t>
      </w:r>
      <w:r w:rsidR="005C31AE">
        <w:rPr>
          <w:rFonts w:ascii="Arial" w:hAnsi="Arial" w:cs="Arial"/>
          <w:sz w:val="22"/>
          <w:szCs w:val="22"/>
          <w:lang w:val="en-GB"/>
        </w:rPr>
        <w:t xml:space="preserve"> staff chose not to take up their P&amp;DR opportunity, managers would carry out smaller and more informal reviews to cover the same aspects as the formal process. This could, over time, help build relationships with managers and help staff to see the benefits of P&amp;DR rather than seeing the process as a threat.</w:t>
      </w:r>
    </w:p>
    <w:p w:rsidR="00DE4996" w:rsidRPr="00CC0FC6" w:rsidRDefault="00DE4996" w:rsidP="00DE4996">
      <w:pPr>
        <w:tabs>
          <w:tab w:val="left" w:pos="561"/>
        </w:tabs>
        <w:ind w:left="567" w:hanging="567"/>
        <w:rPr>
          <w:rFonts w:ascii="Arial" w:hAnsi="Arial" w:cs="Arial"/>
          <w:bCs/>
          <w:sz w:val="22"/>
          <w:szCs w:val="22"/>
          <w:lang w:val="en-GB"/>
        </w:rPr>
      </w:pPr>
    </w:p>
    <w:p w:rsidR="00DE4996" w:rsidRPr="00CC0FC6" w:rsidRDefault="00997A0E" w:rsidP="00DE4996">
      <w:pPr>
        <w:tabs>
          <w:tab w:val="left" w:pos="561"/>
        </w:tabs>
        <w:ind w:left="567" w:hanging="567"/>
        <w:rPr>
          <w:rFonts w:ascii="Arial" w:hAnsi="Arial" w:cs="Arial"/>
          <w:b/>
          <w:bCs/>
          <w:sz w:val="22"/>
          <w:szCs w:val="22"/>
          <w:lang w:val="en-GB"/>
        </w:rPr>
      </w:pPr>
      <w:r>
        <w:rPr>
          <w:rFonts w:ascii="Arial" w:hAnsi="Arial" w:cs="Arial"/>
          <w:b/>
          <w:bCs/>
          <w:sz w:val="22"/>
          <w:szCs w:val="22"/>
          <w:lang w:val="en-GB"/>
        </w:rPr>
        <w:t>5</w:t>
      </w:r>
      <w:r w:rsidR="00DE4996" w:rsidRPr="00CC0FC6">
        <w:rPr>
          <w:rFonts w:ascii="Arial" w:hAnsi="Arial" w:cs="Arial"/>
          <w:b/>
          <w:bCs/>
          <w:sz w:val="22"/>
          <w:szCs w:val="22"/>
          <w:lang w:val="en-GB"/>
        </w:rPr>
        <w:t>.</w:t>
      </w:r>
      <w:r w:rsidR="00DE4996" w:rsidRPr="00CC0FC6">
        <w:rPr>
          <w:rFonts w:ascii="Arial" w:hAnsi="Arial" w:cs="Arial"/>
          <w:bCs/>
          <w:sz w:val="22"/>
          <w:szCs w:val="22"/>
          <w:lang w:val="en-GB"/>
        </w:rPr>
        <w:tab/>
      </w:r>
      <w:r w:rsidR="004B10A9" w:rsidRPr="00CC0FC6">
        <w:rPr>
          <w:rFonts w:ascii="Arial" w:hAnsi="Arial" w:cs="Arial"/>
          <w:b/>
          <w:bCs/>
          <w:sz w:val="22"/>
          <w:szCs w:val="22"/>
          <w:lang w:val="en-GB"/>
        </w:rPr>
        <w:t>Financ</w:t>
      </w:r>
      <w:r w:rsidR="004B10A9">
        <w:rPr>
          <w:rFonts w:ascii="Arial" w:hAnsi="Arial" w:cs="Arial"/>
          <w:b/>
          <w:bCs/>
          <w:sz w:val="22"/>
          <w:szCs w:val="22"/>
          <w:lang w:val="en-GB"/>
        </w:rPr>
        <w:t>ial Issues</w:t>
      </w:r>
    </w:p>
    <w:p w:rsidR="00DE4996" w:rsidRPr="00CC0FC6" w:rsidRDefault="00DE4996" w:rsidP="00DE4996">
      <w:pPr>
        <w:tabs>
          <w:tab w:val="left" w:pos="561"/>
        </w:tabs>
        <w:ind w:left="567" w:hanging="567"/>
        <w:rPr>
          <w:rFonts w:ascii="Arial" w:hAnsi="Arial" w:cs="Arial"/>
          <w:b/>
          <w:bCs/>
          <w:sz w:val="22"/>
          <w:szCs w:val="22"/>
          <w:lang w:val="en-GB"/>
        </w:rPr>
      </w:pPr>
    </w:p>
    <w:p w:rsidR="00910CFB" w:rsidRDefault="00DE4996" w:rsidP="00315315">
      <w:pPr>
        <w:tabs>
          <w:tab w:val="left" w:pos="561"/>
        </w:tabs>
        <w:ind w:left="567" w:hanging="567"/>
        <w:rPr>
          <w:rFonts w:ascii="Arial" w:hAnsi="Arial" w:cs="Arial"/>
          <w:sz w:val="22"/>
          <w:szCs w:val="22"/>
        </w:rPr>
      </w:pPr>
      <w:r w:rsidRPr="00CC0FC6">
        <w:rPr>
          <w:rFonts w:ascii="Arial" w:hAnsi="Arial" w:cs="Arial"/>
          <w:b/>
          <w:bCs/>
          <w:sz w:val="22"/>
          <w:szCs w:val="22"/>
          <w:lang w:val="en-GB"/>
        </w:rPr>
        <w:tab/>
      </w:r>
      <w:r w:rsidR="005C31AE" w:rsidRPr="005C31AE">
        <w:rPr>
          <w:rFonts w:ascii="Arial" w:hAnsi="Arial" w:cs="Arial"/>
          <w:bCs/>
          <w:sz w:val="22"/>
          <w:szCs w:val="22"/>
          <w:lang w:val="en-GB"/>
        </w:rPr>
        <w:t>The Review Group</w:t>
      </w:r>
      <w:r w:rsidR="005C31AE">
        <w:rPr>
          <w:rFonts w:ascii="Arial" w:hAnsi="Arial" w:cs="Arial"/>
          <w:bCs/>
          <w:sz w:val="22"/>
          <w:szCs w:val="22"/>
          <w:lang w:val="en-GB"/>
        </w:rPr>
        <w:t xml:space="preserve"> commended the Faculty on its strong financial performance in 2014/15, </w:t>
      </w:r>
      <w:r w:rsidR="005C31AE" w:rsidRPr="00F213F1">
        <w:rPr>
          <w:rFonts w:ascii="Arial" w:hAnsi="Arial" w:cs="Arial"/>
          <w:bCs/>
          <w:sz w:val="22"/>
          <w:szCs w:val="22"/>
          <w:lang w:val="en-GB"/>
        </w:rPr>
        <w:t>highlighting its high level of contribution (£78.5m)</w:t>
      </w:r>
      <w:r w:rsidR="00427B11">
        <w:rPr>
          <w:rFonts w:ascii="Arial" w:hAnsi="Arial" w:cs="Arial"/>
          <w:bCs/>
          <w:sz w:val="22"/>
          <w:szCs w:val="22"/>
          <w:lang w:val="en-GB"/>
        </w:rPr>
        <w:t>, but noted that its finances were predicated on high student numbers</w:t>
      </w:r>
      <w:r w:rsidR="005C31AE" w:rsidRPr="00F213F1">
        <w:rPr>
          <w:rFonts w:ascii="Arial" w:hAnsi="Arial" w:cs="Arial"/>
          <w:bCs/>
          <w:sz w:val="22"/>
          <w:szCs w:val="22"/>
          <w:lang w:val="en-GB"/>
        </w:rPr>
        <w:t>.</w:t>
      </w:r>
      <w:r w:rsidR="009863FD" w:rsidRPr="00F213F1">
        <w:rPr>
          <w:rFonts w:ascii="Arial" w:hAnsi="Arial" w:cs="Arial"/>
          <w:bCs/>
          <w:sz w:val="22"/>
          <w:szCs w:val="22"/>
          <w:lang w:val="en-GB"/>
        </w:rPr>
        <w:t xml:space="preserve"> The Faculty reported that it was working on mitigating the risks to its financial position, and would be investigating different financial models</w:t>
      </w:r>
      <w:r w:rsidR="00427B11">
        <w:rPr>
          <w:rFonts w:ascii="Arial" w:hAnsi="Arial" w:cs="Arial"/>
          <w:bCs/>
          <w:sz w:val="22"/>
          <w:szCs w:val="22"/>
          <w:lang w:val="en-GB"/>
        </w:rPr>
        <w:t xml:space="preserve"> in order to release quality time for staff</w:t>
      </w:r>
      <w:r w:rsidR="009863FD" w:rsidRPr="00F213F1">
        <w:rPr>
          <w:rFonts w:ascii="Arial" w:hAnsi="Arial" w:cs="Arial"/>
          <w:bCs/>
          <w:sz w:val="22"/>
          <w:szCs w:val="22"/>
          <w:lang w:val="en-GB"/>
        </w:rPr>
        <w:t xml:space="preserve">. The </w:t>
      </w:r>
      <w:r w:rsidR="009863FD" w:rsidRPr="00F213F1">
        <w:rPr>
          <w:rFonts w:ascii="Arial" w:hAnsi="Arial" w:cs="Arial"/>
          <w:sz w:val="22"/>
          <w:szCs w:val="22"/>
        </w:rPr>
        <w:t>Comprehensive Spending Review (CS</w:t>
      </w:r>
      <w:r w:rsidR="009E1A28">
        <w:rPr>
          <w:rFonts w:ascii="Arial" w:hAnsi="Arial" w:cs="Arial"/>
          <w:sz w:val="22"/>
          <w:szCs w:val="22"/>
        </w:rPr>
        <w:t xml:space="preserve">R) would play a major part in </w:t>
      </w:r>
      <w:r w:rsidR="009863FD" w:rsidRPr="00F213F1">
        <w:rPr>
          <w:rFonts w:ascii="Arial" w:hAnsi="Arial" w:cs="Arial"/>
          <w:sz w:val="22"/>
          <w:szCs w:val="22"/>
        </w:rPr>
        <w:t xml:space="preserve">shaping the Faculty’s finances, and </w:t>
      </w:r>
      <w:r w:rsidR="00427B11">
        <w:rPr>
          <w:rFonts w:ascii="Arial" w:hAnsi="Arial" w:cs="Arial"/>
          <w:sz w:val="22"/>
          <w:szCs w:val="22"/>
        </w:rPr>
        <w:t>a</w:t>
      </w:r>
      <w:r w:rsidR="009863FD" w:rsidRPr="00F213F1">
        <w:rPr>
          <w:rFonts w:ascii="Arial" w:hAnsi="Arial" w:cs="Arial"/>
          <w:sz w:val="22"/>
          <w:szCs w:val="22"/>
        </w:rPr>
        <w:t xml:space="preserve"> balance had to be struck between student numbers and research income. Savings would be difficult </w:t>
      </w:r>
      <w:r w:rsidR="004B10A9">
        <w:rPr>
          <w:rFonts w:ascii="Arial" w:hAnsi="Arial" w:cs="Arial"/>
          <w:sz w:val="22"/>
          <w:szCs w:val="22"/>
        </w:rPr>
        <w:t xml:space="preserve">to achieve </w:t>
      </w:r>
      <w:r w:rsidR="009863FD" w:rsidRPr="00F213F1">
        <w:rPr>
          <w:rFonts w:ascii="Arial" w:hAnsi="Arial" w:cs="Arial"/>
          <w:sz w:val="22"/>
          <w:szCs w:val="22"/>
        </w:rPr>
        <w:t xml:space="preserve">from non-pay expenditure. Income from teaching was </w:t>
      </w:r>
      <w:r w:rsidR="00037957" w:rsidRPr="00F213F1">
        <w:rPr>
          <w:rFonts w:ascii="Arial" w:hAnsi="Arial" w:cs="Arial"/>
          <w:sz w:val="22"/>
          <w:szCs w:val="22"/>
        </w:rPr>
        <w:t>potentially at risk from the</w:t>
      </w:r>
      <w:r w:rsidR="009863FD" w:rsidRPr="00F213F1">
        <w:rPr>
          <w:rFonts w:ascii="Arial" w:hAnsi="Arial" w:cs="Arial"/>
          <w:sz w:val="22"/>
          <w:szCs w:val="22"/>
        </w:rPr>
        <w:t xml:space="preserve"> heavy reliance on the Chinese market.</w:t>
      </w:r>
      <w:r w:rsidR="00037957" w:rsidRPr="00F213F1">
        <w:rPr>
          <w:rFonts w:ascii="Arial" w:hAnsi="Arial" w:cs="Arial"/>
          <w:sz w:val="22"/>
          <w:szCs w:val="22"/>
        </w:rPr>
        <w:t xml:space="preserve"> In terms of research income, diversification was key. Although industrial income was currently flat, there were some significant opportunities ahead, </w:t>
      </w:r>
      <w:r w:rsidR="00AD40B3">
        <w:rPr>
          <w:rFonts w:ascii="Arial" w:hAnsi="Arial" w:cs="Arial"/>
          <w:sz w:val="22"/>
          <w:szCs w:val="22"/>
        </w:rPr>
        <w:t>relating</w:t>
      </w:r>
      <w:r w:rsidR="00427B11">
        <w:rPr>
          <w:rFonts w:ascii="Arial" w:hAnsi="Arial" w:cs="Arial"/>
          <w:sz w:val="22"/>
          <w:szCs w:val="22"/>
        </w:rPr>
        <w:t xml:space="preserve"> to opportunities from</w:t>
      </w:r>
      <w:r w:rsidR="00427B11" w:rsidRPr="00F213F1">
        <w:rPr>
          <w:rFonts w:ascii="Arial" w:hAnsi="Arial" w:cs="Arial"/>
          <w:sz w:val="22"/>
          <w:szCs w:val="22"/>
        </w:rPr>
        <w:t xml:space="preserve"> </w:t>
      </w:r>
      <w:r w:rsidR="00037957" w:rsidRPr="00F213F1">
        <w:rPr>
          <w:rFonts w:ascii="Arial" w:hAnsi="Arial" w:cs="Arial"/>
          <w:sz w:val="22"/>
          <w:szCs w:val="22"/>
        </w:rPr>
        <w:t>MECD, SHRI and the N</w:t>
      </w:r>
      <w:r w:rsidR="000103A4">
        <w:rPr>
          <w:rFonts w:ascii="Arial" w:hAnsi="Arial" w:cs="Arial"/>
          <w:sz w:val="22"/>
          <w:szCs w:val="22"/>
        </w:rPr>
        <w:t xml:space="preserve">ational </w:t>
      </w:r>
      <w:r w:rsidR="00037957" w:rsidRPr="00F213F1">
        <w:rPr>
          <w:rFonts w:ascii="Arial" w:hAnsi="Arial" w:cs="Arial"/>
          <w:sz w:val="22"/>
          <w:szCs w:val="22"/>
        </w:rPr>
        <w:t>G</w:t>
      </w:r>
      <w:r w:rsidR="000103A4">
        <w:rPr>
          <w:rFonts w:ascii="Arial" w:hAnsi="Arial" w:cs="Arial"/>
          <w:sz w:val="22"/>
          <w:szCs w:val="22"/>
        </w:rPr>
        <w:t xml:space="preserve">raphene </w:t>
      </w:r>
      <w:r w:rsidR="000103A4" w:rsidRPr="00F213F1">
        <w:rPr>
          <w:rFonts w:ascii="Arial" w:hAnsi="Arial" w:cs="Arial"/>
          <w:sz w:val="22"/>
          <w:szCs w:val="22"/>
        </w:rPr>
        <w:t>I</w:t>
      </w:r>
      <w:r w:rsidR="000103A4">
        <w:rPr>
          <w:rFonts w:ascii="Arial" w:hAnsi="Arial" w:cs="Arial"/>
          <w:sz w:val="22"/>
          <w:szCs w:val="22"/>
        </w:rPr>
        <w:t xml:space="preserve">nstitute and </w:t>
      </w:r>
      <w:r w:rsidR="00037957" w:rsidRPr="00F213F1">
        <w:rPr>
          <w:rFonts w:ascii="Arial" w:hAnsi="Arial" w:cs="Arial"/>
          <w:sz w:val="22"/>
          <w:szCs w:val="22"/>
        </w:rPr>
        <w:t xml:space="preserve">GEIC. </w:t>
      </w:r>
      <w:r w:rsidR="000E5032">
        <w:rPr>
          <w:rFonts w:ascii="Arial" w:hAnsi="Arial" w:cs="Arial"/>
          <w:sz w:val="22"/>
          <w:szCs w:val="22"/>
          <w:lang w:val="en-GB"/>
        </w:rPr>
        <w:t xml:space="preserve">The Faculty expressed the desire to establish a task force to raise additional funding from industry and alumni to invest in MECD, whilst the Review Group noted the importance of taking a strategic overview of the current portfolio of </w:t>
      </w:r>
      <w:r w:rsidR="003F1E26">
        <w:rPr>
          <w:rFonts w:ascii="Arial" w:hAnsi="Arial" w:cs="Arial"/>
          <w:sz w:val="22"/>
          <w:szCs w:val="22"/>
          <w:lang w:val="en-GB"/>
        </w:rPr>
        <w:t xml:space="preserve">large </w:t>
      </w:r>
      <w:r w:rsidR="000E5032">
        <w:rPr>
          <w:rFonts w:ascii="Arial" w:hAnsi="Arial" w:cs="Arial"/>
          <w:sz w:val="22"/>
          <w:szCs w:val="22"/>
          <w:lang w:val="en-GB"/>
        </w:rPr>
        <w:t>projects to optimise the opportunities they created</w:t>
      </w:r>
      <w:r w:rsidR="003F1E26">
        <w:rPr>
          <w:rFonts w:ascii="Arial" w:hAnsi="Arial" w:cs="Arial"/>
          <w:sz w:val="22"/>
          <w:szCs w:val="22"/>
          <w:lang w:val="en-GB"/>
        </w:rPr>
        <w:t>,</w:t>
      </w:r>
      <w:r w:rsidR="000E5032">
        <w:rPr>
          <w:rFonts w:ascii="Arial" w:hAnsi="Arial" w:cs="Arial"/>
          <w:sz w:val="22"/>
          <w:szCs w:val="22"/>
          <w:lang w:val="en-GB"/>
        </w:rPr>
        <w:t xml:space="preserve"> to take stock of equipment</w:t>
      </w:r>
      <w:r w:rsidR="003F1E26">
        <w:rPr>
          <w:rFonts w:ascii="Arial" w:hAnsi="Arial" w:cs="Arial"/>
          <w:sz w:val="22"/>
          <w:szCs w:val="22"/>
          <w:lang w:val="en-GB"/>
        </w:rPr>
        <w:t>,</w:t>
      </w:r>
      <w:r w:rsidR="000E5032">
        <w:rPr>
          <w:rFonts w:ascii="Arial" w:hAnsi="Arial" w:cs="Arial"/>
          <w:sz w:val="22"/>
          <w:szCs w:val="22"/>
          <w:lang w:val="en-GB"/>
        </w:rPr>
        <w:t xml:space="preserve"> to seek investment etc.</w:t>
      </w:r>
      <w:r w:rsidR="00037957" w:rsidRPr="00F213F1">
        <w:rPr>
          <w:rFonts w:ascii="Arial" w:hAnsi="Arial" w:cs="Arial"/>
          <w:sz w:val="22"/>
          <w:szCs w:val="22"/>
        </w:rPr>
        <w:t xml:space="preserve">The Faculty was actively exploring prospects with companies </w:t>
      </w:r>
      <w:r w:rsidR="00427B11">
        <w:rPr>
          <w:rFonts w:ascii="Arial" w:hAnsi="Arial" w:cs="Arial"/>
          <w:sz w:val="22"/>
          <w:szCs w:val="22"/>
        </w:rPr>
        <w:t xml:space="preserve">and strategic partners </w:t>
      </w:r>
      <w:r w:rsidR="00037957" w:rsidRPr="00F213F1">
        <w:rPr>
          <w:rFonts w:ascii="Arial" w:hAnsi="Arial" w:cs="Arial"/>
          <w:sz w:val="22"/>
          <w:szCs w:val="22"/>
        </w:rPr>
        <w:t xml:space="preserve">in the Middle East and China for major investment in </w:t>
      </w:r>
      <w:r w:rsidR="001141D5">
        <w:rPr>
          <w:rFonts w:ascii="Arial" w:hAnsi="Arial" w:cs="Arial"/>
          <w:sz w:val="22"/>
          <w:szCs w:val="22"/>
        </w:rPr>
        <w:t xml:space="preserve">research </w:t>
      </w:r>
      <w:r w:rsidR="00037957" w:rsidRPr="00F213F1">
        <w:rPr>
          <w:rFonts w:ascii="Arial" w:hAnsi="Arial" w:cs="Arial"/>
          <w:sz w:val="22"/>
          <w:szCs w:val="22"/>
        </w:rPr>
        <w:t xml:space="preserve">collaborations (e.g. nuclear). </w:t>
      </w:r>
      <w:r w:rsidR="00F213F1">
        <w:rPr>
          <w:rFonts w:ascii="Arial" w:hAnsi="Arial" w:cs="Arial"/>
          <w:sz w:val="22"/>
          <w:szCs w:val="22"/>
        </w:rPr>
        <w:t xml:space="preserve">The Review Group urged the Faculty to push harder </w:t>
      </w:r>
      <w:r w:rsidR="009E1A28">
        <w:rPr>
          <w:rFonts w:ascii="Arial" w:hAnsi="Arial" w:cs="Arial"/>
          <w:sz w:val="22"/>
          <w:szCs w:val="22"/>
        </w:rPr>
        <w:t>to</w:t>
      </w:r>
      <w:r w:rsidR="00F213F1">
        <w:rPr>
          <w:rFonts w:ascii="Arial" w:hAnsi="Arial" w:cs="Arial"/>
          <w:sz w:val="22"/>
          <w:szCs w:val="22"/>
        </w:rPr>
        <w:t xml:space="preserve"> </w:t>
      </w:r>
      <w:r w:rsidR="009E1A28">
        <w:rPr>
          <w:rFonts w:ascii="Arial" w:hAnsi="Arial" w:cs="Arial"/>
          <w:sz w:val="22"/>
          <w:szCs w:val="22"/>
        </w:rPr>
        <w:t xml:space="preserve">recover </w:t>
      </w:r>
      <w:r w:rsidR="00F213F1">
        <w:rPr>
          <w:rFonts w:ascii="Arial" w:hAnsi="Arial" w:cs="Arial"/>
          <w:sz w:val="22"/>
          <w:szCs w:val="22"/>
        </w:rPr>
        <w:t>full cost</w:t>
      </w:r>
      <w:r w:rsidR="009E1A28">
        <w:rPr>
          <w:rFonts w:ascii="Arial" w:hAnsi="Arial" w:cs="Arial"/>
          <w:sz w:val="22"/>
          <w:szCs w:val="22"/>
        </w:rPr>
        <w:t>s</w:t>
      </w:r>
      <w:r w:rsidR="00F213F1">
        <w:rPr>
          <w:rFonts w:ascii="Arial" w:hAnsi="Arial" w:cs="Arial"/>
          <w:sz w:val="22"/>
          <w:szCs w:val="22"/>
        </w:rPr>
        <w:t xml:space="preserve"> </w:t>
      </w:r>
      <w:r w:rsidR="001141D5">
        <w:rPr>
          <w:rFonts w:ascii="Arial" w:hAnsi="Arial" w:cs="Arial"/>
          <w:sz w:val="22"/>
          <w:szCs w:val="22"/>
        </w:rPr>
        <w:t>on research bids</w:t>
      </w:r>
      <w:r w:rsidR="00F213F1">
        <w:rPr>
          <w:rFonts w:ascii="Arial" w:hAnsi="Arial" w:cs="Arial"/>
          <w:sz w:val="22"/>
          <w:szCs w:val="22"/>
        </w:rPr>
        <w:t xml:space="preserve">, </w:t>
      </w:r>
      <w:r w:rsidR="00427B11">
        <w:rPr>
          <w:rFonts w:ascii="Arial" w:hAnsi="Arial" w:cs="Arial"/>
          <w:sz w:val="22"/>
          <w:szCs w:val="22"/>
        </w:rPr>
        <w:t xml:space="preserve">particularly from industry, </w:t>
      </w:r>
      <w:r w:rsidR="00F213F1">
        <w:rPr>
          <w:rFonts w:ascii="Arial" w:hAnsi="Arial" w:cs="Arial"/>
          <w:sz w:val="22"/>
          <w:szCs w:val="22"/>
        </w:rPr>
        <w:t xml:space="preserve">and to stop thinking about certain costs as ‘overheads’. </w:t>
      </w:r>
      <w:r w:rsidR="001141D5" w:rsidRPr="00F213F1">
        <w:rPr>
          <w:rFonts w:ascii="Arial" w:hAnsi="Arial" w:cs="Arial"/>
          <w:sz w:val="22"/>
          <w:szCs w:val="22"/>
        </w:rPr>
        <w:t>The Faculty</w:t>
      </w:r>
      <w:r w:rsidR="001141D5">
        <w:rPr>
          <w:rFonts w:ascii="Arial" w:hAnsi="Arial" w:cs="Arial"/>
          <w:sz w:val="22"/>
          <w:szCs w:val="22"/>
        </w:rPr>
        <w:t xml:space="preserve"> noted that </w:t>
      </w:r>
      <w:proofErr w:type="gramStart"/>
      <w:r w:rsidR="001141D5">
        <w:rPr>
          <w:rFonts w:ascii="Arial" w:hAnsi="Arial" w:cs="Arial"/>
          <w:sz w:val="22"/>
          <w:szCs w:val="22"/>
        </w:rPr>
        <w:t>its</w:t>
      </w:r>
      <w:proofErr w:type="gramEnd"/>
      <w:r w:rsidR="001141D5" w:rsidRPr="00F213F1">
        <w:rPr>
          <w:rFonts w:ascii="Arial" w:hAnsi="Arial" w:cs="Arial"/>
          <w:sz w:val="22"/>
          <w:szCs w:val="22"/>
        </w:rPr>
        <w:t xml:space="preserve"> Business Engagement </w:t>
      </w:r>
      <w:r w:rsidR="00990A4F">
        <w:rPr>
          <w:rFonts w:ascii="Arial" w:hAnsi="Arial" w:cs="Arial"/>
          <w:sz w:val="22"/>
          <w:szCs w:val="22"/>
        </w:rPr>
        <w:t xml:space="preserve">and </w:t>
      </w:r>
      <w:r w:rsidR="007357B0">
        <w:rPr>
          <w:rFonts w:ascii="Arial" w:hAnsi="Arial" w:cs="Arial"/>
          <w:sz w:val="22"/>
          <w:szCs w:val="22"/>
        </w:rPr>
        <w:t>Innovation</w:t>
      </w:r>
      <w:r w:rsidR="00990A4F">
        <w:rPr>
          <w:rFonts w:ascii="Arial" w:hAnsi="Arial" w:cs="Arial"/>
          <w:sz w:val="22"/>
          <w:szCs w:val="22"/>
        </w:rPr>
        <w:t xml:space="preserve"> </w:t>
      </w:r>
      <w:r w:rsidR="001141D5" w:rsidRPr="00F213F1">
        <w:rPr>
          <w:rFonts w:ascii="Arial" w:hAnsi="Arial" w:cs="Arial"/>
          <w:sz w:val="22"/>
          <w:szCs w:val="22"/>
        </w:rPr>
        <w:t>Committee was currently developing a strategy</w:t>
      </w:r>
      <w:r w:rsidR="001141D5">
        <w:rPr>
          <w:rFonts w:ascii="Arial" w:hAnsi="Arial" w:cs="Arial"/>
          <w:sz w:val="22"/>
          <w:szCs w:val="22"/>
        </w:rPr>
        <w:t xml:space="preserve"> to support the growth of its business relationships</w:t>
      </w:r>
      <w:r w:rsidR="001141D5" w:rsidRPr="00F213F1">
        <w:rPr>
          <w:rFonts w:ascii="Arial" w:hAnsi="Arial" w:cs="Arial"/>
          <w:sz w:val="22"/>
          <w:szCs w:val="22"/>
        </w:rPr>
        <w:t>.</w:t>
      </w:r>
    </w:p>
    <w:p w:rsidR="004B10A9" w:rsidRPr="007C4D45" w:rsidRDefault="004B10A9" w:rsidP="00315315">
      <w:pPr>
        <w:tabs>
          <w:tab w:val="left" w:pos="561"/>
        </w:tabs>
        <w:ind w:left="567" w:hanging="567"/>
        <w:rPr>
          <w:rFonts w:ascii="Arial" w:hAnsi="Arial" w:cs="Arial"/>
          <w:b/>
          <w:bCs/>
          <w:sz w:val="22"/>
          <w:szCs w:val="22"/>
          <w:lang w:val="en-GB"/>
        </w:rPr>
      </w:pPr>
      <w:r>
        <w:rPr>
          <w:rFonts w:ascii="Arial" w:hAnsi="Arial" w:cs="Arial"/>
          <w:sz w:val="22"/>
          <w:szCs w:val="22"/>
        </w:rPr>
        <w:tab/>
      </w:r>
      <w:r w:rsidRPr="007C4D45">
        <w:rPr>
          <w:rFonts w:ascii="Arial" w:hAnsi="Arial" w:cs="Arial"/>
          <w:b/>
          <w:sz w:val="22"/>
          <w:szCs w:val="22"/>
        </w:rPr>
        <w:t xml:space="preserve">ACTION: (i) to ensure that the contribution target for 2015/16 is met; and (ii) to improve recovery rates by ensuring that research grants and contracts are costed and priced effectively </w:t>
      </w:r>
      <w:r w:rsidR="003110E5" w:rsidRPr="007C4D45">
        <w:rPr>
          <w:rFonts w:ascii="Arial" w:hAnsi="Arial" w:cs="Arial"/>
          <w:b/>
          <w:sz w:val="22"/>
          <w:szCs w:val="22"/>
        </w:rPr>
        <w:t>in line with the University’s pricing guidance and the Faculty’s PI/Co-I recovery guidance</w:t>
      </w:r>
      <w:r w:rsidRPr="007C4D45">
        <w:rPr>
          <w:rFonts w:ascii="Arial" w:hAnsi="Arial" w:cs="Arial"/>
          <w:b/>
          <w:sz w:val="22"/>
          <w:szCs w:val="22"/>
        </w:rPr>
        <w:t>.</w:t>
      </w:r>
    </w:p>
    <w:p w:rsidR="00DE4996" w:rsidRPr="00F213F1" w:rsidRDefault="00DE4996" w:rsidP="00DE4996">
      <w:pPr>
        <w:tabs>
          <w:tab w:val="left" w:pos="561"/>
        </w:tabs>
        <w:ind w:left="567" w:hanging="567"/>
        <w:rPr>
          <w:rFonts w:ascii="Arial" w:hAnsi="Arial" w:cs="Arial"/>
          <w:bCs/>
          <w:sz w:val="22"/>
          <w:szCs w:val="22"/>
          <w:lang w:val="en-GB"/>
        </w:rPr>
      </w:pPr>
    </w:p>
    <w:p w:rsidR="00DE4996" w:rsidRPr="00CC0FC6" w:rsidRDefault="00997A0E" w:rsidP="00DE4996">
      <w:pPr>
        <w:ind w:left="561" w:hanging="561"/>
        <w:rPr>
          <w:rFonts w:ascii="Arial" w:hAnsi="Arial" w:cs="Arial"/>
          <w:b/>
          <w:sz w:val="22"/>
          <w:szCs w:val="22"/>
          <w:lang w:val="en-GB"/>
        </w:rPr>
      </w:pPr>
      <w:r>
        <w:rPr>
          <w:rFonts w:ascii="Arial" w:hAnsi="Arial" w:cs="Arial"/>
          <w:b/>
          <w:sz w:val="22"/>
          <w:szCs w:val="22"/>
          <w:lang w:val="en-GB"/>
        </w:rPr>
        <w:t>6</w:t>
      </w:r>
      <w:r w:rsidR="00DE4996" w:rsidRPr="00CC0FC6">
        <w:rPr>
          <w:rFonts w:ascii="Arial" w:hAnsi="Arial" w:cs="Arial"/>
          <w:b/>
          <w:sz w:val="22"/>
          <w:szCs w:val="22"/>
          <w:lang w:val="en-GB"/>
        </w:rPr>
        <w:t>.</w:t>
      </w:r>
      <w:r w:rsidR="00DE4996" w:rsidRPr="00CC0FC6">
        <w:rPr>
          <w:rFonts w:ascii="Arial" w:hAnsi="Arial" w:cs="Arial"/>
          <w:b/>
          <w:sz w:val="22"/>
          <w:szCs w:val="22"/>
          <w:lang w:val="en-GB"/>
        </w:rPr>
        <w:tab/>
        <w:t>Goal One – World Class Research</w:t>
      </w:r>
    </w:p>
    <w:p w:rsidR="00DE4996" w:rsidRDefault="00DE4996" w:rsidP="00DE4996">
      <w:pPr>
        <w:ind w:left="561" w:hanging="561"/>
        <w:rPr>
          <w:rFonts w:ascii="Arial" w:hAnsi="Arial" w:cs="Arial"/>
          <w:bCs/>
          <w:sz w:val="22"/>
          <w:szCs w:val="22"/>
          <w:lang w:val="en-GB"/>
        </w:rPr>
      </w:pPr>
      <w:r w:rsidRPr="00CC0FC6">
        <w:rPr>
          <w:rFonts w:ascii="Arial" w:hAnsi="Arial" w:cs="Arial"/>
          <w:bCs/>
          <w:sz w:val="22"/>
          <w:szCs w:val="22"/>
          <w:lang w:val="en-GB"/>
        </w:rPr>
        <w:tab/>
      </w:r>
    </w:p>
    <w:p w:rsidR="0098060F" w:rsidRPr="0098060F" w:rsidRDefault="008A1236" w:rsidP="00315315">
      <w:pPr>
        <w:ind w:left="561" w:hanging="561"/>
        <w:rPr>
          <w:rFonts w:ascii="Arial" w:hAnsi="Arial" w:cs="Arial"/>
          <w:b/>
          <w:bCs/>
          <w:sz w:val="22"/>
          <w:szCs w:val="22"/>
          <w:lang w:val="en-GB"/>
        </w:rPr>
      </w:pPr>
      <w:r>
        <w:rPr>
          <w:rFonts w:ascii="Arial" w:hAnsi="Arial" w:cs="Arial"/>
          <w:bCs/>
          <w:sz w:val="22"/>
          <w:szCs w:val="22"/>
          <w:lang w:val="en-GB"/>
        </w:rPr>
        <w:tab/>
      </w:r>
      <w:r w:rsidR="003110E5">
        <w:rPr>
          <w:rFonts w:ascii="Arial" w:hAnsi="Arial" w:cs="Arial"/>
          <w:b/>
          <w:bCs/>
          <w:sz w:val="22"/>
          <w:szCs w:val="22"/>
          <w:lang w:val="en-GB"/>
        </w:rPr>
        <w:t>Research quality</w:t>
      </w:r>
    </w:p>
    <w:p w:rsidR="0098060F" w:rsidRDefault="0098060F" w:rsidP="00315315">
      <w:pPr>
        <w:ind w:left="561" w:hanging="561"/>
        <w:rPr>
          <w:rFonts w:ascii="Arial" w:hAnsi="Arial" w:cs="Arial"/>
          <w:bCs/>
          <w:sz w:val="22"/>
          <w:szCs w:val="22"/>
          <w:lang w:val="en-GB"/>
        </w:rPr>
      </w:pPr>
      <w:r>
        <w:rPr>
          <w:rFonts w:ascii="Arial" w:hAnsi="Arial" w:cs="Arial"/>
          <w:bCs/>
          <w:sz w:val="22"/>
          <w:szCs w:val="22"/>
          <w:lang w:val="en-GB"/>
        </w:rPr>
        <w:tab/>
        <w:t xml:space="preserve">The Review Group was concerned that some Schools had </w:t>
      </w:r>
      <w:r w:rsidR="003110E5">
        <w:rPr>
          <w:rFonts w:ascii="Arial" w:hAnsi="Arial" w:cs="Arial"/>
          <w:bCs/>
          <w:sz w:val="22"/>
          <w:szCs w:val="22"/>
          <w:lang w:val="en-GB"/>
        </w:rPr>
        <w:t xml:space="preserve">focused </w:t>
      </w:r>
      <w:r>
        <w:rPr>
          <w:rFonts w:ascii="Arial" w:hAnsi="Arial" w:cs="Arial"/>
          <w:bCs/>
          <w:sz w:val="22"/>
          <w:szCs w:val="22"/>
          <w:lang w:val="en-GB"/>
        </w:rPr>
        <w:t xml:space="preserve">on the wrong kinds of outputs, as indicated by the REF outcome. The Faculty recognised it needed to improve research quality. </w:t>
      </w:r>
      <w:r w:rsidR="009E1A28">
        <w:rPr>
          <w:rFonts w:ascii="Arial" w:hAnsi="Arial" w:cs="Arial"/>
          <w:bCs/>
          <w:sz w:val="22"/>
          <w:szCs w:val="22"/>
          <w:lang w:val="en-GB"/>
        </w:rPr>
        <w:t>Following the REF</w:t>
      </w:r>
      <w:r>
        <w:rPr>
          <w:rFonts w:ascii="Arial" w:hAnsi="Arial" w:cs="Arial"/>
          <w:bCs/>
          <w:sz w:val="22"/>
          <w:szCs w:val="22"/>
          <w:lang w:val="en-GB"/>
        </w:rPr>
        <w:t xml:space="preserve">2014 it had undertaken </w:t>
      </w:r>
      <w:r w:rsidR="00427B11">
        <w:rPr>
          <w:rFonts w:ascii="Arial" w:hAnsi="Arial" w:cs="Arial"/>
          <w:bCs/>
          <w:sz w:val="22"/>
          <w:szCs w:val="22"/>
          <w:lang w:val="en-GB"/>
        </w:rPr>
        <w:t xml:space="preserve">the </w:t>
      </w:r>
      <w:r>
        <w:rPr>
          <w:rFonts w:ascii="Arial" w:hAnsi="Arial" w:cs="Arial"/>
          <w:bCs/>
          <w:sz w:val="22"/>
          <w:szCs w:val="22"/>
          <w:lang w:val="en-GB"/>
        </w:rPr>
        <w:t xml:space="preserve">Research Review Exercise and had recalibrated the outcome to help it reassess its position in relation to its peers. </w:t>
      </w:r>
      <w:r w:rsidR="00427B11">
        <w:rPr>
          <w:rFonts w:ascii="Arial" w:hAnsi="Arial" w:cs="Arial"/>
          <w:bCs/>
          <w:sz w:val="22"/>
          <w:szCs w:val="22"/>
          <w:lang w:val="en-GB"/>
        </w:rPr>
        <w:t xml:space="preserve">In Chemistry, for example, the School was analysing outputs to identify the top performers and also those who </w:t>
      </w:r>
      <w:r w:rsidR="00427B11">
        <w:rPr>
          <w:rFonts w:ascii="Arial" w:hAnsi="Arial" w:cs="Arial"/>
          <w:bCs/>
          <w:sz w:val="22"/>
          <w:szCs w:val="22"/>
          <w:lang w:val="en-GB"/>
        </w:rPr>
        <w:lastRenderedPageBreak/>
        <w:t xml:space="preserve">could contribute to 4* papers and therefore claim part of the credit. </w:t>
      </w:r>
      <w:r>
        <w:rPr>
          <w:rFonts w:ascii="Arial" w:hAnsi="Arial" w:cs="Arial"/>
          <w:bCs/>
          <w:sz w:val="22"/>
          <w:szCs w:val="22"/>
          <w:lang w:val="en-GB"/>
        </w:rPr>
        <w:t>Improving citations was a key challenge</w:t>
      </w:r>
      <w:r w:rsidR="00AD40B3">
        <w:rPr>
          <w:rFonts w:ascii="Arial" w:hAnsi="Arial" w:cs="Arial"/>
          <w:bCs/>
          <w:sz w:val="22"/>
          <w:szCs w:val="22"/>
          <w:lang w:val="en-GB"/>
        </w:rPr>
        <w:t xml:space="preserve">: as well as the use of open access, </w:t>
      </w:r>
      <w:r>
        <w:rPr>
          <w:rFonts w:ascii="Arial" w:hAnsi="Arial" w:cs="Arial"/>
          <w:bCs/>
          <w:sz w:val="22"/>
          <w:szCs w:val="22"/>
          <w:lang w:val="en-GB"/>
        </w:rPr>
        <w:t xml:space="preserve">the Review Group suggested that even simple changes, such as making titles and abstracts more accessible, or the use of social media, could have a positive impact on citation rates. The Review Group emphasised the importance of citation rates in league tables, and that action to improve them should be taken immediately. </w:t>
      </w:r>
      <w:r w:rsidR="00427B11">
        <w:rPr>
          <w:rFonts w:ascii="Arial" w:hAnsi="Arial" w:cs="Arial"/>
          <w:bCs/>
          <w:sz w:val="22"/>
          <w:szCs w:val="22"/>
          <w:lang w:val="en-GB"/>
        </w:rPr>
        <w:t xml:space="preserve">One of the Faculty’s priorities was </w:t>
      </w:r>
      <w:r>
        <w:rPr>
          <w:rFonts w:ascii="Arial" w:hAnsi="Arial" w:cs="Arial"/>
          <w:bCs/>
          <w:sz w:val="22"/>
          <w:szCs w:val="22"/>
          <w:lang w:val="en-GB"/>
        </w:rPr>
        <w:t xml:space="preserve">staff with </w:t>
      </w:r>
      <w:r w:rsidR="00E37198">
        <w:rPr>
          <w:rFonts w:ascii="Arial" w:hAnsi="Arial" w:cs="Arial"/>
          <w:bCs/>
          <w:sz w:val="22"/>
          <w:szCs w:val="22"/>
          <w:lang w:val="en-GB"/>
        </w:rPr>
        <w:t xml:space="preserve">publications with low or </w:t>
      </w:r>
      <w:r>
        <w:rPr>
          <w:rFonts w:ascii="Arial" w:hAnsi="Arial" w:cs="Arial"/>
          <w:bCs/>
          <w:sz w:val="22"/>
          <w:szCs w:val="22"/>
          <w:lang w:val="en-GB"/>
        </w:rPr>
        <w:t xml:space="preserve">zero citations, as there was an issue with serial offenders who </w:t>
      </w:r>
      <w:r w:rsidR="00AD40B3">
        <w:rPr>
          <w:rFonts w:ascii="Arial" w:hAnsi="Arial" w:cs="Arial"/>
          <w:bCs/>
          <w:sz w:val="22"/>
          <w:szCs w:val="22"/>
          <w:lang w:val="en-GB"/>
        </w:rPr>
        <w:t>would only publish in particular journals and were never cited as a result</w:t>
      </w:r>
      <w:r>
        <w:rPr>
          <w:rFonts w:ascii="Arial" w:hAnsi="Arial" w:cs="Arial"/>
          <w:bCs/>
          <w:sz w:val="22"/>
          <w:szCs w:val="22"/>
          <w:lang w:val="en-GB"/>
        </w:rPr>
        <w:t xml:space="preserve">. The Faculty agreed that a top-down approach </w:t>
      </w:r>
      <w:r w:rsidR="00427B11">
        <w:rPr>
          <w:rFonts w:ascii="Arial" w:hAnsi="Arial" w:cs="Arial"/>
          <w:bCs/>
          <w:sz w:val="22"/>
          <w:szCs w:val="22"/>
          <w:lang w:val="en-GB"/>
        </w:rPr>
        <w:t>by School</w:t>
      </w:r>
      <w:r w:rsidR="00AD40B3">
        <w:rPr>
          <w:rFonts w:ascii="Arial" w:hAnsi="Arial" w:cs="Arial"/>
          <w:bCs/>
          <w:sz w:val="22"/>
          <w:szCs w:val="22"/>
          <w:lang w:val="en-GB"/>
        </w:rPr>
        <w:t>s</w:t>
      </w:r>
      <w:r w:rsidR="00427B11">
        <w:rPr>
          <w:rFonts w:ascii="Arial" w:hAnsi="Arial" w:cs="Arial"/>
          <w:bCs/>
          <w:sz w:val="22"/>
          <w:szCs w:val="22"/>
          <w:lang w:val="en-GB"/>
        </w:rPr>
        <w:t xml:space="preserve"> </w:t>
      </w:r>
      <w:r>
        <w:rPr>
          <w:rFonts w:ascii="Arial" w:hAnsi="Arial" w:cs="Arial"/>
          <w:bCs/>
          <w:sz w:val="22"/>
          <w:szCs w:val="22"/>
          <w:lang w:val="en-GB"/>
        </w:rPr>
        <w:t xml:space="preserve">was necessary to </w:t>
      </w:r>
      <w:r w:rsidR="00427B11">
        <w:rPr>
          <w:rFonts w:ascii="Arial" w:hAnsi="Arial" w:cs="Arial"/>
          <w:bCs/>
          <w:sz w:val="22"/>
          <w:szCs w:val="22"/>
          <w:lang w:val="en-GB"/>
        </w:rPr>
        <w:t xml:space="preserve">make the appropriate interventions in publication strategies. There was also a need to </w:t>
      </w:r>
      <w:r w:rsidR="003F1E26">
        <w:rPr>
          <w:rFonts w:ascii="Arial" w:hAnsi="Arial" w:cs="Arial"/>
          <w:bCs/>
          <w:sz w:val="22"/>
          <w:szCs w:val="22"/>
          <w:lang w:val="en-GB"/>
        </w:rPr>
        <w:t xml:space="preserve">identify </w:t>
      </w:r>
      <w:r w:rsidR="00427B11">
        <w:rPr>
          <w:rFonts w:ascii="Arial" w:hAnsi="Arial" w:cs="Arial"/>
          <w:bCs/>
          <w:sz w:val="22"/>
          <w:szCs w:val="22"/>
          <w:lang w:val="en-GB"/>
        </w:rPr>
        <w:t>for each discipline which journals to target for publication</w:t>
      </w:r>
      <w:r>
        <w:rPr>
          <w:rFonts w:ascii="Arial" w:hAnsi="Arial" w:cs="Arial"/>
          <w:bCs/>
          <w:sz w:val="22"/>
          <w:szCs w:val="22"/>
          <w:lang w:val="en-GB"/>
        </w:rPr>
        <w:t xml:space="preserve">. </w:t>
      </w:r>
    </w:p>
    <w:p w:rsidR="003110E5" w:rsidRPr="007C4D45" w:rsidRDefault="003110E5" w:rsidP="00315315">
      <w:pPr>
        <w:ind w:left="561" w:hanging="561"/>
        <w:rPr>
          <w:rFonts w:ascii="Arial" w:hAnsi="Arial" w:cs="Arial"/>
          <w:b/>
          <w:bCs/>
          <w:sz w:val="22"/>
          <w:szCs w:val="22"/>
          <w:lang w:val="en-GB"/>
        </w:rPr>
      </w:pPr>
      <w:r>
        <w:rPr>
          <w:rFonts w:ascii="Arial" w:hAnsi="Arial" w:cs="Arial"/>
          <w:bCs/>
          <w:sz w:val="22"/>
          <w:szCs w:val="22"/>
          <w:lang w:val="en-GB"/>
        </w:rPr>
        <w:tab/>
      </w:r>
      <w:r w:rsidRPr="007C4D45">
        <w:rPr>
          <w:rFonts w:ascii="Arial" w:hAnsi="Arial" w:cs="Arial"/>
          <w:b/>
          <w:bCs/>
          <w:sz w:val="22"/>
          <w:szCs w:val="22"/>
          <w:lang w:val="en-GB"/>
        </w:rPr>
        <w:t>ACTION: Schools to continue to implement their publication strategies in order to improve citations and reduce the number of zero citations.</w:t>
      </w:r>
    </w:p>
    <w:p w:rsidR="00D32A00" w:rsidRDefault="00D32A00" w:rsidP="00315315">
      <w:pPr>
        <w:ind w:left="561" w:hanging="561"/>
        <w:rPr>
          <w:rFonts w:ascii="Arial" w:hAnsi="Arial" w:cs="Arial"/>
          <w:bCs/>
          <w:sz w:val="22"/>
          <w:szCs w:val="22"/>
          <w:lang w:val="en-GB"/>
        </w:rPr>
      </w:pPr>
    </w:p>
    <w:p w:rsidR="00D32A00" w:rsidRDefault="00D32A00" w:rsidP="00315315">
      <w:pPr>
        <w:ind w:left="561" w:hanging="561"/>
        <w:rPr>
          <w:rFonts w:ascii="Arial" w:hAnsi="Arial" w:cs="Arial"/>
          <w:b/>
          <w:bCs/>
          <w:sz w:val="22"/>
          <w:szCs w:val="22"/>
          <w:lang w:val="en-GB"/>
        </w:rPr>
      </w:pPr>
      <w:r>
        <w:rPr>
          <w:rFonts w:ascii="Arial" w:hAnsi="Arial" w:cs="Arial"/>
          <w:bCs/>
          <w:sz w:val="22"/>
          <w:szCs w:val="22"/>
          <w:lang w:val="en-GB"/>
        </w:rPr>
        <w:tab/>
      </w:r>
      <w:r w:rsidR="003110E5">
        <w:rPr>
          <w:rFonts w:ascii="Arial" w:hAnsi="Arial" w:cs="Arial"/>
          <w:b/>
          <w:bCs/>
          <w:sz w:val="22"/>
          <w:szCs w:val="22"/>
          <w:lang w:val="en-GB"/>
        </w:rPr>
        <w:t xml:space="preserve">Research </w:t>
      </w:r>
      <w:r>
        <w:rPr>
          <w:rFonts w:ascii="Arial" w:hAnsi="Arial" w:cs="Arial"/>
          <w:b/>
          <w:bCs/>
          <w:sz w:val="22"/>
          <w:szCs w:val="22"/>
          <w:lang w:val="en-GB"/>
        </w:rPr>
        <w:t>income</w:t>
      </w:r>
    </w:p>
    <w:p w:rsidR="00757317" w:rsidRDefault="00D32A00" w:rsidP="00757317">
      <w:pPr>
        <w:ind w:left="561" w:hanging="561"/>
        <w:rPr>
          <w:rFonts w:ascii="Arial" w:hAnsi="Arial" w:cs="Arial"/>
          <w:bCs/>
          <w:sz w:val="22"/>
          <w:szCs w:val="22"/>
          <w:lang w:val="en-GB"/>
        </w:rPr>
      </w:pPr>
      <w:r>
        <w:rPr>
          <w:rFonts w:ascii="Arial" w:hAnsi="Arial" w:cs="Arial"/>
          <w:b/>
          <w:bCs/>
          <w:sz w:val="22"/>
          <w:szCs w:val="22"/>
          <w:lang w:val="en-GB"/>
        </w:rPr>
        <w:tab/>
      </w:r>
      <w:r>
        <w:rPr>
          <w:rFonts w:ascii="Arial" w:hAnsi="Arial" w:cs="Arial"/>
          <w:bCs/>
          <w:sz w:val="22"/>
          <w:szCs w:val="22"/>
          <w:lang w:val="en-GB"/>
        </w:rPr>
        <w:t xml:space="preserve">The Review Group congratulated the Faculty </w:t>
      </w:r>
      <w:r w:rsidR="003F1E26">
        <w:rPr>
          <w:rFonts w:ascii="Arial" w:hAnsi="Arial" w:cs="Arial"/>
          <w:bCs/>
          <w:sz w:val="22"/>
          <w:szCs w:val="22"/>
          <w:lang w:val="en-GB"/>
        </w:rPr>
        <w:t xml:space="preserve">on </w:t>
      </w:r>
      <w:r>
        <w:rPr>
          <w:rFonts w:ascii="Arial" w:hAnsi="Arial" w:cs="Arial"/>
          <w:bCs/>
          <w:sz w:val="22"/>
          <w:szCs w:val="22"/>
          <w:lang w:val="en-GB"/>
        </w:rPr>
        <w:t xml:space="preserve">its impressive increase in RGC income, which had </w:t>
      </w:r>
      <w:r w:rsidR="003110E5">
        <w:rPr>
          <w:rFonts w:ascii="Arial" w:hAnsi="Arial" w:cs="Arial"/>
          <w:bCs/>
          <w:sz w:val="22"/>
          <w:szCs w:val="22"/>
          <w:lang w:val="en-GB"/>
        </w:rPr>
        <w:t xml:space="preserve">increased </w:t>
      </w:r>
      <w:r>
        <w:rPr>
          <w:rFonts w:ascii="Arial" w:hAnsi="Arial" w:cs="Arial"/>
          <w:bCs/>
          <w:sz w:val="22"/>
          <w:szCs w:val="22"/>
          <w:lang w:val="en-GB"/>
        </w:rPr>
        <w:t xml:space="preserve">from £79.5m in 2013/14 to £100.5m in 2014/15. However, the Faculty still needed a step change </w:t>
      </w:r>
      <w:r w:rsidR="00256A94">
        <w:rPr>
          <w:rFonts w:ascii="Arial" w:hAnsi="Arial" w:cs="Arial"/>
          <w:bCs/>
          <w:sz w:val="22"/>
          <w:szCs w:val="22"/>
          <w:lang w:val="en-GB"/>
        </w:rPr>
        <w:t xml:space="preserve">to reach the University target in </w:t>
      </w:r>
      <w:r w:rsidR="00256A94">
        <w:rPr>
          <w:rFonts w:ascii="Arial" w:hAnsi="Arial" w:cs="Arial"/>
          <w:bCs/>
          <w:i/>
          <w:sz w:val="22"/>
          <w:szCs w:val="22"/>
          <w:lang w:val="en-GB"/>
        </w:rPr>
        <w:t xml:space="preserve">Manchester 2020 </w:t>
      </w:r>
      <w:r w:rsidR="00256A94" w:rsidRPr="00256A94">
        <w:rPr>
          <w:rFonts w:ascii="Arial" w:hAnsi="Arial" w:cs="Arial"/>
          <w:bCs/>
          <w:sz w:val="22"/>
          <w:szCs w:val="22"/>
          <w:lang w:val="en-GB"/>
        </w:rPr>
        <w:t>and</w:t>
      </w:r>
      <w:r w:rsidR="00256A94">
        <w:rPr>
          <w:rFonts w:ascii="Arial" w:hAnsi="Arial" w:cs="Arial"/>
          <w:bCs/>
          <w:i/>
          <w:sz w:val="22"/>
          <w:szCs w:val="22"/>
          <w:lang w:val="en-GB"/>
        </w:rPr>
        <w:t xml:space="preserve"> </w:t>
      </w:r>
      <w:r>
        <w:rPr>
          <w:rFonts w:ascii="Arial" w:hAnsi="Arial" w:cs="Arial"/>
          <w:bCs/>
          <w:sz w:val="22"/>
          <w:szCs w:val="22"/>
          <w:lang w:val="en-GB"/>
        </w:rPr>
        <w:t xml:space="preserve">to compare favourably with </w:t>
      </w:r>
      <w:r w:rsidR="00427B11">
        <w:rPr>
          <w:rFonts w:ascii="Arial" w:hAnsi="Arial" w:cs="Arial"/>
          <w:bCs/>
          <w:sz w:val="22"/>
          <w:szCs w:val="22"/>
          <w:lang w:val="en-GB"/>
        </w:rPr>
        <w:t xml:space="preserve">the top five </w:t>
      </w:r>
      <w:r w:rsidR="003110E5">
        <w:rPr>
          <w:rFonts w:ascii="Arial" w:hAnsi="Arial" w:cs="Arial"/>
          <w:bCs/>
          <w:sz w:val="22"/>
          <w:szCs w:val="22"/>
          <w:lang w:val="en-GB"/>
        </w:rPr>
        <w:t xml:space="preserve">Russell Group </w:t>
      </w:r>
      <w:r w:rsidR="00427B11">
        <w:rPr>
          <w:rFonts w:ascii="Arial" w:hAnsi="Arial" w:cs="Arial"/>
          <w:bCs/>
          <w:sz w:val="22"/>
          <w:szCs w:val="22"/>
          <w:lang w:val="en-GB"/>
        </w:rPr>
        <w:t>comparators, e</w:t>
      </w:r>
      <w:r w:rsidR="00C667D5">
        <w:rPr>
          <w:rFonts w:ascii="Arial" w:hAnsi="Arial" w:cs="Arial"/>
          <w:bCs/>
          <w:sz w:val="22"/>
          <w:szCs w:val="22"/>
          <w:lang w:val="en-GB"/>
        </w:rPr>
        <w:t>.</w:t>
      </w:r>
      <w:r w:rsidR="00427B11">
        <w:rPr>
          <w:rFonts w:ascii="Arial" w:hAnsi="Arial" w:cs="Arial"/>
          <w:bCs/>
          <w:sz w:val="22"/>
          <w:szCs w:val="22"/>
          <w:lang w:val="en-GB"/>
        </w:rPr>
        <w:t>g</w:t>
      </w:r>
      <w:r w:rsidR="00C667D5">
        <w:rPr>
          <w:rFonts w:ascii="Arial" w:hAnsi="Arial" w:cs="Arial"/>
          <w:bCs/>
          <w:sz w:val="22"/>
          <w:szCs w:val="22"/>
          <w:lang w:val="en-GB"/>
        </w:rPr>
        <w:t>.</w:t>
      </w:r>
      <w:r w:rsidR="00427B11">
        <w:rPr>
          <w:rFonts w:ascii="Arial" w:hAnsi="Arial" w:cs="Arial"/>
          <w:bCs/>
          <w:sz w:val="22"/>
          <w:szCs w:val="22"/>
          <w:lang w:val="en-GB"/>
        </w:rPr>
        <w:t xml:space="preserve"> the per capita RGC income was 71% of the average of the top five</w:t>
      </w:r>
      <w:r>
        <w:rPr>
          <w:rFonts w:ascii="Arial" w:hAnsi="Arial" w:cs="Arial"/>
          <w:bCs/>
          <w:i/>
          <w:sz w:val="22"/>
          <w:szCs w:val="22"/>
          <w:lang w:val="en-GB"/>
        </w:rPr>
        <w:t xml:space="preserve">. </w:t>
      </w:r>
      <w:r w:rsidR="000654C8">
        <w:rPr>
          <w:rFonts w:ascii="Arial" w:hAnsi="Arial" w:cs="Arial"/>
          <w:bCs/>
          <w:sz w:val="22"/>
          <w:szCs w:val="22"/>
          <w:lang w:val="en-GB"/>
        </w:rPr>
        <w:t xml:space="preserve">A particular challenge was income distribution with </w:t>
      </w:r>
      <w:r w:rsidR="00857EA2">
        <w:rPr>
          <w:rFonts w:ascii="Arial" w:hAnsi="Arial" w:cs="Arial"/>
          <w:bCs/>
          <w:sz w:val="22"/>
          <w:szCs w:val="22"/>
          <w:lang w:val="en-GB"/>
        </w:rPr>
        <w:t>26%</w:t>
      </w:r>
      <w:r w:rsidR="000654C8">
        <w:rPr>
          <w:rFonts w:ascii="Arial" w:hAnsi="Arial" w:cs="Arial"/>
          <w:bCs/>
          <w:sz w:val="22"/>
          <w:szCs w:val="22"/>
          <w:lang w:val="en-GB"/>
        </w:rPr>
        <w:t xml:space="preserve"> of </w:t>
      </w:r>
      <w:r w:rsidR="00857EA2">
        <w:rPr>
          <w:rFonts w:ascii="Arial" w:hAnsi="Arial" w:cs="Arial"/>
          <w:bCs/>
          <w:sz w:val="22"/>
          <w:szCs w:val="22"/>
          <w:lang w:val="en-GB"/>
        </w:rPr>
        <w:t>RRE</w:t>
      </w:r>
      <w:r w:rsidR="000654C8">
        <w:rPr>
          <w:rFonts w:ascii="Arial" w:hAnsi="Arial" w:cs="Arial"/>
          <w:bCs/>
          <w:sz w:val="22"/>
          <w:szCs w:val="22"/>
          <w:lang w:val="en-GB"/>
        </w:rPr>
        <w:t xml:space="preserve"> eligible staff </w:t>
      </w:r>
      <w:r w:rsidR="00857EA2">
        <w:rPr>
          <w:rFonts w:ascii="Arial" w:hAnsi="Arial" w:cs="Arial"/>
          <w:bCs/>
          <w:sz w:val="22"/>
          <w:szCs w:val="22"/>
          <w:lang w:val="en-GB"/>
        </w:rPr>
        <w:t xml:space="preserve">with no credit share, and a </w:t>
      </w:r>
      <w:r w:rsidR="008B1F3D">
        <w:rPr>
          <w:rFonts w:ascii="Arial" w:hAnsi="Arial" w:cs="Arial"/>
          <w:bCs/>
          <w:sz w:val="22"/>
          <w:szCs w:val="22"/>
          <w:lang w:val="en-GB"/>
        </w:rPr>
        <w:t>proportion</w:t>
      </w:r>
      <w:r w:rsidR="00857EA2">
        <w:rPr>
          <w:rFonts w:ascii="Arial" w:hAnsi="Arial" w:cs="Arial"/>
          <w:bCs/>
          <w:sz w:val="22"/>
          <w:szCs w:val="22"/>
          <w:lang w:val="en-GB"/>
        </w:rPr>
        <w:t xml:space="preserve"> with sub-critical income levels (13% bringing in less than £25k per year)</w:t>
      </w:r>
      <w:r w:rsidR="00256A94">
        <w:rPr>
          <w:rFonts w:ascii="Arial" w:hAnsi="Arial" w:cs="Arial"/>
          <w:bCs/>
          <w:sz w:val="22"/>
          <w:szCs w:val="22"/>
          <w:lang w:val="en-GB"/>
        </w:rPr>
        <w:t>, compared to the excellent achievement of those with income greater than £1m (10%)</w:t>
      </w:r>
      <w:r w:rsidR="00857EA2">
        <w:rPr>
          <w:rFonts w:ascii="Arial" w:hAnsi="Arial" w:cs="Arial"/>
          <w:bCs/>
          <w:sz w:val="22"/>
          <w:szCs w:val="22"/>
          <w:lang w:val="en-GB"/>
        </w:rPr>
        <w:t xml:space="preserve">. The Faculty </w:t>
      </w:r>
      <w:r w:rsidR="003E7BB8">
        <w:rPr>
          <w:rFonts w:ascii="Arial" w:hAnsi="Arial" w:cs="Arial"/>
          <w:bCs/>
          <w:sz w:val="22"/>
          <w:szCs w:val="22"/>
          <w:lang w:val="en-GB"/>
        </w:rPr>
        <w:t xml:space="preserve">was actively looking at </w:t>
      </w:r>
      <w:r w:rsidR="00857EA2">
        <w:rPr>
          <w:rFonts w:ascii="Arial" w:hAnsi="Arial" w:cs="Arial"/>
          <w:bCs/>
          <w:sz w:val="22"/>
          <w:szCs w:val="22"/>
          <w:lang w:val="en-GB"/>
        </w:rPr>
        <w:t>set</w:t>
      </w:r>
      <w:r w:rsidR="003E7BB8">
        <w:rPr>
          <w:rFonts w:ascii="Arial" w:hAnsi="Arial" w:cs="Arial"/>
          <w:bCs/>
          <w:sz w:val="22"/>
          <w:szCs w:val="22"/>
          <w:lang w:val="en-GB"/>
        </w:rPr>
        <w:t>ting</w:t>
      </w:r>
      <w:r w:rsidR="00857EA2">
        <w:rPr>
          <w:rFonts w:ascii="Arial" w:hAnsi="Arial" w:cs="Arial"/>
          <w:bCs/>
          <w:sz w:val="22"/>
          <w:szCs w:val="22"/>
          <w:lang w:val="en-GB"/>
        </w:rPr>
        <w:t xml:space="preserve"> higher </w:t>
      </w:r>
      <w:r w:rsidR="003E7BB8">
        <w:rPr>
          <w:rFonts w:ascii="Arial" w:hAnsi="Arial" w:cs="Arial"/>
          <w:bCs/>
          <w:sz w:val="22"/>
          <w:szCs w:val="22"/>
          <w:lang w:val="en-GB"/>
        </w:rPr>
        <w:t xml:space="preserve">discipline relevant </w:t>
      </w:r>
      <w:r w:rsidR="00857EA2">
        <w:rPr>
          <w:rFonts w:ascii="Arial" w:hAnsi="Arial" w:cs="Arial"/>
          <w:bCs/>
          <w:sz w:val="22"/>
          <w:szCs w:val="22"/>
          <w:lang w:val="en-GB"/>
        </w:rPr>
        <w:t xml:space="preserve">expectations. The Faculty acknowledged that it was concerned about the </w:t>
      </w:r>
      <w:r w:rsidR="00256A94">
        <w:rPr>
          <w:rFonts w:ascii="Arial" w:hAnsi="Arial" w:cs="Arial"/>
          <w:bCs/>
          <w:sz w:val="22"/>
          <w:szCs w:val="22"/>
          <w:lang w:val="en-GB"/>
        </w:rPr>
        <w:t>‘</w:t>
      </w:r>
      <w:r w:rsidR="00857EA2">
        <w:rPr>
          <w:rFonts w:ascii="Arial" w:hAnsi="Arial" w:cs="Arial"/>
          <w:bCs/>
          <w:sz w:val="22"/>
          <w:szCs w:val="22"/>
          <w:lang w:val="en-GB"/>
        </w:rPr>
        <w:t>tail</w:t>
      </w:r>
      <w:r w:rsidR="00256A94">
        <w:rPr>
          <w:rFonts w:ascii="Arial" w:hAnsi="Arial" w:cs="Arial"/>
          <w:bCs/>
          <w:sz w:val="22"/>
          <w:szCs w:val="22"/>
          <w:lang w:val="en-GB"/>
        </w:rPr>
        <w:t>’</w:t>
      </w:r>
      <w:r w:rsidR="00857EA2">
        <w:rPr>
          <w:rFonts w:ascii="Arial" w:hAnsi="Arial" w:cs="Arial"/>
          <w:bCs/>
          <w:sz w:val="22"/>
          <w:szCs w:val="22"/>
          <w:lang w:val="en-GB"/>
        </w:rPr>
        <w:t xml:space="preserve"> but wanted to concentrate on the middle performers</w:t>
      </w:r>
      <w:r w:rsidR="00256A94">
        <w:rPr>
          <w:rFonts w:ascii="Arial" w:hAnsi="Arial" w:cs="Arial"/>
          <w:bCs/>
          <w:sz w:val="22"/>
          <w:szCs w:val="22"/>
          <w:lang w:val="en-GB"/>
        </w:rPr>
        <w:t xml:space="preserve"> who had the potential to improve</w:t>
      </w:r>
      <w:r w:rsidR="00857EA2">
        <w:rPr>
          <w:rFonts w:ascii="Arial" w:hAnsi="Arial" w:cs="Arial"/>
          <w:bCs/>
          <w:sz w:val="22"/>
          <w:szCs w:val="22"/>
          <w:lang w:val="en-GB"/>
        </w:rPr>
        <w:t xml:space="preserve">, and to </w:t>
      </w:r>
      <w:r w:rsidR="00632771">
        <w:rPr>
          <w:rFonts w:ascii="Arial" w:hAnsi="Arial" w:cs="Arial"/>
          <w:bCs/>
          <w:sz w:val="22"/>
          <w:szCs w:val="22"/>
          <w:lang w:val="en-GB"/>
        </w:rPr>
        <w:t xml:space="preserve">improve </w:t>
      </w:r>
      <w:r w:rsidR="00857EA2">
        <w:rPr>
          <w:rFonts w:ascii="Arial" w:hAnsi="Arial" w:cs="Arial"/>
          <w:bCs/>
          <w:sz w:val="22"/>
          <w:szCs w:val="22"/>
          <w:lang w:val="en-GB"/>
        </w:rPr>
        <w:t>the ‘gradient’ of performance.</w:t>
      </w:r>
      <w:r w:rsidR="007A0B4F">
        <w:rPr>
          <w:rFonts w:ascii="Arial" w:hAnsi="Arial" w:cs="Arial"/>
          <w:bCs/>
          <w:sz w:val="22"/>
          <w:szCs w:val="22"/>
          <w:lang w:val="en-GB"/>
        </w:rPr>
        <w:t xml:space="preserve"> </w:t>
      </w:r>
      <w:r w:rsidR="003110E5">
        <w:rPr>
          <w:rFonts w:ascii="Arial" w:hAnsi="Arial" w:cs="Arial"/>
          <w:bCs/>
          <w:sz w:val="22"/>
          <w:szCs w:val="22"/>
          <w:lang w:val="en-GB"/>
        </w:rPr>
        <w:t>It reported that t</w:t>
      </w:r>
      <w:r w:rsidR="007A0B4F">
        <w:rPr>
          <w:rFonts w:ascii="Arial" w:hAnsi="Arial" w:cs="Arial"/>
          <w:bCs/>
          <w:sz w:val="22"/>
          <w:szCs w:val="22"/>
          <w:lang w:val="en-GB"/>
        </w:rPr>
        <w:t>here were issues of space capacity, particularly in relation to Chemistry and MIB</w:t>
      </w:r>
      <w:r w:rsidR="00857EA2">
        <w:rPr>
          <w:rFonts w:ascii="Arial" w:hAnsi="Arial" w:cs="Arial"/>
          <w:bCs/>
          <w:sz w:val="22"/>
          <w:szCs w:val="22"/>
          <w:lang w:val="en-GB"/>
        </w:rPr>
        <w:t xml:space="preserve">. The Review Group urged the Schools to look </w:t>
      </w:r>
      <w:r w:rsidR="00E07351">
        <w:rPr>
          <w:rFonts w:ascii="Arial" w:hAnsi="Arial" w:cs="Arial"/>
          <w:bCs/>
          <w:sz w:val="22"/>
          <w:szCs w:val="22"/>
          <w:lang w:val="en-GB"/>
        </w:rPr>
        <w:t>in other buildings</w:t>
      </w:r>
      <w:r w:rsidR="00857EA2">
        <w:rPr>
          <w:rFonts w:ascii="Arial" w:hAnsi="Arial" w:cs="Arial"/>
          <w:bCs/>
          <w:sz w:val="22"/>
          <w:szCs w:val="22"/>
          <w:lang w:val="en-GB"/>
        </w:rPr>
        <w:t xml:space="preserve"> for lab space, and that the culture of academics ‘owning’ lab space </w:t>
      </w:r>
      <w:r w:rsidR="007A0B4F">
        <w:rPr>
          <w:rFonts w:ascii="Arial" w:hAnsi="Arial" w:cs="Arial"/>
          <w:bCs/>
          <w:sz w:val="22"/>
          <w:szCs w:val="22"/>
          <w:lang w:val="en-GB"/>
        </w:rPr>
        <w:t xml:space="preserve">rather than having space because they </w:t>
      </w:r>
      <w:r w:rsidR="003110E5">
        <w:rPr>
          <w:rFonts w:ascii="Arial" w:hAnsi="Arial" w:cs="Arial"/>
          <w:bCs/>
          <w:sz w:val="22"/>
          <w:szCs w:val="22"/>
          <w:lang w:val="en-GB"/>
        </w:rPr>
        <w:t>held a current</w:t>
      </w:r>
      <w:r w:rsidR="007A0B4F">
        <w:rPr>
          <w:rFonts w:ascii="Arial" w:hAnsi="Arial" w:cs="Arial"/>
          <w:bCs/>
          <w:sz w:val="22"/>
          <w:szCs w:val="22"/>
          <w:lang w:val="en-GB"/>
        </w:rPr>
        <w:t xml:space="preserve"> research grant </w:t>
      </w:r>
      <w:r w:rsidR="00857EA2">
        <w:rPr>
          <w:rFonts w:ascii="Arial" w:hAnsi="Arial" w:cs="Arial"/>
          <w:bCs/>
          <w:sz w:val="22"/>
          <w:szCs w:val="22"/>
          <w:lang w:val="en-GB"/>
        </w:rPr>
        <w:t xml:space="preserve">should be looked at. </w:t>
      </w:r>
      <w:r w:rsidR="00757317">
        <w:rPr>
          <w:rFonts w:ascii="Arial" w:hAnsi="Arial" w:cs="Arial"/>
          <w:bCs/>
          <w:sz w:val="22"/>
          <w:szCs w:val="22"/>
          <w:lang w:val="en-GB"/>
        </w:rPr>
        <w:t>Space utilisation was a serious issue, and i</w:t>
      </w:r>
      <w:r w:rsidR="00857EA2">
        <w:rPr>
          <w:rFonts w:ascii="Arial" w:hAnsi="Arial" w:cs="Arial"/>
          <w:bCs/>
          <w:sz w:val="22"/>
          <w:szCs w:val="22"/>
          <w:lang w:val="en-GB"/>
        </w:rPr>
        <w:t>t was noted that competitor institutions ofte</w:t>
      </w:r>
      <w:r w:rsidR="00757317">
        <w:rPr>
          <w:rFonts w:ascii="Arial" w:hAnsi="Arial" w:cs="Arial"/>
          <w:bCs/>
          <w:sz w:val="22"/>
          <w:szCs w:val="22"/>
          <w:lang w:val="en-GB"/>
        </w:rPr>
        <w:t>n had much less space</w:t>
      </w:r>
      <w:r w:rsidR="00C667D5">
        <w:rPr>
          <w:rFonts w:ascii="Arial" w:hAnsi="Arial" w:cs="Arial"/>
          <w:bCs/>
          <w:sz w:val="22"/>
          <w:szCs w:val="22"/>
          <w:lang w:val="en-GB"/>
        </w:rPr>
        <w:t xml:space="preserve"> but used it more effectively</w:t>
      </w:r>
      <w:r w:rsidR="00F62B59">
        <w:rPr>
          <w:rFonts w:ascii="Arial" w:hAnsi="Arial" w:cs="Arial"/>
          <w:bCs/>
          <w:sz w:val="22"/>
          <w:szCs w:val="22"/>
          <w:lang w:val="en-GB"/>
        </w:rPr>
        <w:t>.</w:t>
      </w:r>
    </w:p>
    <w:p w:rsidR="008B1F3D" w:rsidRPr="008B1F3D" w:rsidRDefault="008B1F3D" w:rsidP="00757317">
      <w:pPr>
        <w:ind w:left="561" w:hanging="561"/>
        <w:rPr>
          <w:rFonts w:ascii="Arial" w:hAnsi="Arial" w:cs="Arial"/>
          <w:b/>
          <w:bCs/>
          <w:sz w:val="22"/>
          <w:szCs w:val="22"/>
          <w:lang w:val="en-GB"/>
        </w:rPr>
      </w:pPr>
      <w:r>
        <w:rPr>
          <w:rFonts w:ascii="Arial" w:hAnsi="Arial" w:cs="Arial"/>
          <w:bCs/>
          <w:sz w:val="22"/>
          <w:szCs w:val="22"/>
          <w:lang w:val="en-GB"/>
        </w:rPr>
        <w:tab/>
      </w:r>
      <w:r>
        <w:rPr>
          <w:rFonts w:ascii="Arial" w:hAnsi="Arial" w:cs="Arial"/>
          <w:b/>
          <w:bCs/>
          <w:sz w:val="22"/>
          <w:szCs w:val="22"/>
          <w:lang w:val="en-GB"/>
        </w:rPr>
        <w:t xml:space="preserve">ACTION: to </w:t>
      </w:r>
      <w:r w:rsidR="00C667D5">
        <w:rPr>
          <w:rFonts w:ascii="Arial" w:hAnsi="Arial" w:cs="Arial"/>
          <w:b/>
          <w:bCs/>
          <w:sz w:val="22"/>
          <w:szCs w:val="22"/>
          <w:lang w:val="en-GB"/>
        </w:rPr>
        <w:t>review</w:t>
      </w:r>
      <w:r>
        <w:rPr>
          <w:rFonts w:ascii="Arial" w:hAnsi="Arial" w:cs="Arial"/>
          <w:b/>
          <w:bCs/>
          <w:sz w:val="22"/>
          <w:szCs w:val="22"/>
          <w:lang w:val="en-GB"/>
        </w:rPr>
        <w:t xml:space="preserve"> space utilisation and the culture of ‘owning’ lab space, to encourage sharing and enable growth.</w:t>
      </w:r>
    </w:p>
    <w:p w:rsidR="00757317" w:rsidRDefault="00757317" w:rsidP="00757317">
      <w:pPr>
        <w:ind w:left="561" w:hanging="561"/>
        <w:rPr>
          <w:rFonts w:ascii="Arial" w:hAnsi="Arial" w:cs="Arial"/>
          <w:bCs/>
          <w:sz w:val="22"/>
          <w:szCs w:val="22"/>
          <w:lang w:val="en-GB"/>
        </w:rPr>
      </w:pPr>
    </w:p>
    <w:p w:rsidR="000977A1" w:rsidRDefault="00757317" w:rsidP="00757317">
      <w:pPr>
        <w:ind w:left="561" w:hanging="561"/>
        <w:rPr>
          <w:rFonts w:ascii="Arial" w:hAnsi="Arial" w:cs="Arial"/>
          <w:bCs/>
          <w:sz w:val="22"/>
          <w:szCs w:val="22"/>
          <w:lang w:val="en-GB"/>
        </w:rPr>
      </w:pPr>
      <w:r>
        <w:rPr>
          <w:rFonts w:ascii="Arial" w:hAnsi="Arial" w:cs="Arial"/>
          <w:bCs/>
          <w:sz w:val="22"/>
          <w:szCs w:val="22"/>
          <w:lang w:val="en-GB"/>
        </w:rPr>
        <w:tab/>
        <w:t>The Review Group commended the Faculty on the 13.9% increase in awards from £104.5m in 2013/14 to £119.0m in 2014/15. However, if the Faculty Office line (</w:t>
      </w:r>
      <w:r w:rsidR="008B1F3D">
        <w:rPr>
          <w:rFonts w:ascii="Arial" w:hAnsi="Arial" w:cs="Arial"/>
          <w:bCs/>
          <w:sz w:val="22"/>
          <w:szCs w:val="22"/>
          <w:lang w:val="en-GB"/>
        </w:rPr>
        <w:t xml:space="preserve">which related to the </w:t>
      </w:r>
      <w:r>
        <w:rPr>
          <w:rFonts w:ascii="Arial" w:hAnsi="Arial" w:cs="Arial"/>
          <w:bCs/>
          <w:sz w:val="22"/>
          <w:szCs w:val="22"/>
          <w:lang w:val="en-GB"/>
        </w:rPr>
        <w:t xml:space="preserve">GEIC) was removed from the accounts, the remaining awards stood at £83.9m which was a </w:t>
      </w:r>
      <w:r w:rsidR="008B1F3D">
        <w:rPr>
          <w:rFonts w:ascii="Arial" w:hAnsi="Arial" w:cs="Arial"/>
          <w:bCs/>
          <w:sz w:val="22"/>
          <w:szCs w:val="22"/>
          <w:lang w:val="en-GB"/>
        </w:rPr>
        <w:t xml:space="preserve">significant </w:t>
      </w:r>
      <w:r>
        <w:rPr>
          <w:rFonts w:ascii="Arial" w:hAnsi="Arial" w:cs="Arial"/>
          <w:bCs/>
          <w:sz w:val="22"/>
          <w:szCs w:val="22"/>
          <w:lang w:val="en-GB"/>
        </w:rPr>
        <w:t xml:space="preserve">drop from the previous year. </w:t>
      </w:r>
      <w:r w:rsidR="009B3B9F">
        <w:rPr>
          <w:rFonts w:ascii="Arial" w:hAnsi="Arial" w:cs="Arial"/>
          <w:bCs/>
          <w:sz w:val="22"/>
          <w:szCs w:val="22"/>
          <w:lang w:val="en-GB"/>
        </w:rPr>
        <w:t xml:space="preserve">The Faculty recognised this and was addressing it </w:t>
      </w:r>
      <w:r w:rsidR="000977A1">
        <w:rPr>
          <w:rFonts w:ascii="Arial" w:hAnsi="Arial" w:cs="Arial"/>
          <w:bCs/>
          <w:sz w:val="22"/>
          <w:szCs w:val="22"/>
          <w:lang w:val="en-GB"/>
        </w:rPr>
        <w:t xml:space="preserve">by </w:t>
      </w:r>
      <w:r w:rsidR="007A0B4F">
        <w:rPr>
          <w:rFonts w:ascii="Arial" w:hAnsi="Arial" w:cs="Arial"/>
          <w:bCs/>
          <w:sz w:val="22"/>
          <w:szCs w:val="22"/>
          <w:lang w:val="en-GB"/>
        </w:rPr>
        <w:t xml:space="preserve">setting targets, </w:t>
      </w:r>
      <w:r w:rsidR="00656222">
        <w:rPr>
          <w:rFonts w:ascii="Arial" w:hAnsi="Arial" w:cs="Arial"/>
          <w:bCs/>
          <w:sz w:val="22"/>
          <w:szCs w:val="22"/>
          <w:lang w:val="en-GB"/>
        </w:rPr>
        <w:t>providing</w:t>
      </w:r>
      <w:r w:rsidR="00C667D5">
        <w:rPr>
          <w:rFonts w:ascii="Arial" w:hAnsi="Arial" w:cs="Arial"/>
          <w:bCs/>
          <w:sz w:val="22"/>
          <w:szCs w:val="22"/>
          <w:lang w:val="en-GB"/>
        </w:rPr>
        <w:t xml:space="preserve"> </w:t>
      </w:r>
      <w:r w:rsidR="000977A1">
        <w:rPr>
          <w:rFonts w:ascii="Arial" w:hAnsi="Arial" w:cs="Arial"/>
          <w:bCs/>
          <w:sz w:val="22"/>
          <w:szCs w:val="22"/>
          <w:lang w:val="en-GB"/>
        </w:rPr>
        <w:t xml:space="preserve">support </w:t>
      </w:r>
      <w:r w:rsidR="007A0B4F">
        <w:rPr>
          <w:rFonts w:ascii="Arial" w:hAnsi="Arial" w:cs="Arial"/>
          <w:bCs/>
          <w:sz w:val="22"/>
          <w:szCs w:val="22"/>
          <w:lang w:val="en-GB"/>
        </w:rPr>
        <w:t xml:space="preserve">for checking and quality </w:t>
      </w:r>
      <w:r w:rsidR="000977A1">
        <w:rPr>
          <w:rFonts w:ascii="Arial" w:hAnsi="Arial" w:cs="Arial"/>
          <w:bCs/>
          <w:sz w:val="22"/>
          <w:szCs w:val="22"/>
          <w:lang w:val="en-GB"/>
        </w:rPr>
        <w:t xml:space="preserve">at the application stage, </w:t>
      </w:r>
      <w:r w:rsidR="00C667D5">
        <w:rPr>
          <w:rFonts w:ascii="Arial" w:hAnsi="Arial" w:cs="Arial"/>
          <w:bCs/>
          <w:sz w:val="22"/>
          <w:szCs w:val="22"/>
          <w:lang w:val="en-GB"/>
        </w:rPr>
        <w:t xml:space="preserve">offering </w:t>
      </w:r>
      <w:r w:rsidR="007A0B4F">
        <w:rPr>
          <w:rFonts w:ascii="Arial" w:hAnsi="Arial" w:cs="Arial"/>
          <w:bCs/>
          <w:sz w:val="22"/>
          <w:szCs w:val="22"/>
          <w:lang w:val="en-GB"/>
        </w:rPr>
        <w:t xml:space="preserve">short term, focused sabbaticals, </w:t>
      </w:r>
      <w:r w:rsidR="000977A1">
        <w:rPr>
          <w:rFonts w:ascii="Arial" w:hAnsi="Arial" w:cs="Arial"/>
          <w:bCs/>
          <w:sz w:val="22"/>
          <w:szCs w:val="22"/>
          <w:lang w:val="en-GB"/>
        </w:rPr>
        <w:t xml:space="preserve">and </w:t>
      </w:r>
      <w:r w:rsidR="009B3B9F">
        <w:rPr>
          <w:rFonts w:ascii="Arial" w:hAnsi="Arial" w:cs="Arial"/>
          <w:bCs/>
          <w:sz w:val="22"/>
          <w:szCs w:val="22"/>
          <w:lang w:val="en-GB"/>
        </w:rPr>
        <w:t>through performance management, with particular</w:t>
      </w:r>
      <w:r w:rsidR="000977A1">
        <w:rPr>
          <w:rFonts w:ascii="Arial" w:hAnsi="Arial" w:cs="Arial"/>
          <w:bCs/>
          <w:sz w:val="22"/>
          <w:szCs w:val="22"/>
          <w:lang w:val="en-GB"/>
        </w:rPr>
        <w:t xml:space="preserve"> focus on the middle performers</w:t>
      </w:r>
      <w:r w:rsidR="009B3B9F">
        <w:rPr>
          <w:rFonts w:ascii="Arial" w:hAnsi="Arial" w:cs="Arial"/>
          <w:bCs/>
          <w:sz w:val="22"/>
          <w:szCs w:val="22"/>
          <w:lang w:val="en-GB"/>
        </w:rPr>
        <w:t xml:space="preserve">. There had been </w:t>
      </w:r>
      <w:r w:rsidR="007A0B4F">
        <w:rPr>
          <w:rFonts w:ascii="Arial" w:hAnsi="Arial" w:cs="Arial"/>
          <w:bCs/>
          <w:sz w:val="22"/>
          <w:szCs w:val="22"/>
          <w:lang w:val="en-GB"/>
        </w:rPr>
        <w:t>some recent successes from new sources, e</w:t>
      </w:r>
      <w:r w:rsidR="00C667D5">
        <w:rPr>
          <w:rFonts w:ascii="Arial" w:hAnsi="Arial" w:cs="Arial"/>
          <w:bCs/>
          <w:sz w:val="22"/>
          <w:szCs w:val="22"/>
          <w:lang w:val="en-GB"/>
        </w:rPr>
        <w:t>.</w:t>
      </w:r>
      <w:r w:rsidR="007A0B4F">
        <w:rPr>
          <w:rFonts w:ascii="Arial" w:hAnsi="Arial" w:cs="Arial"/>
          <w:bCs/>
          <w:sz w:val="22"/>
          <w:szCs w:val="22"/>
          <w:lang w:val="en-GB"/>
        </w:rPr>
        <w:t>g</w:t>
      </w:r>
      <w:r w:rsidR="00C667D5">
        <w:rPr>
          <w:rFonts w:ascii="Arial" w:hAnsi="Arial" w:cs="Arial"/>
          <w:bCs/>
          <w:sz w:val="22"/>
          <w:szCs w:val="22"/>
          <w:lang w:val="en-GB"/>
        </w:rPr>
        <w:t>.</w:t>
      </w:r>
      <w:r w:rsidR="007A0B4F">
        <w:rPr>
          <w:rFonts w:ascii="Arial" w:hAnsi="Arial" w:cs="Arial"/>
          <w:bCs/>
          <w:sz w:val="22"/>
          <w:szCs w:val="22"/>
          <w:lang w:val="en-GB"/>
        </w:rPr>
        <w:t xml:space="preserve"> the Newton Fund</w:t>
      </w:r>
      <w:r w:rsidR="009B3B9F">
        <w:rPr>
          <w:rFonts w:ascii="Arial" w:hAnsi="Arial" w:cs="Arial"/>
          <w:bCs/>
          <w:sz w:val="22"/>
          <w:szCs w:val="22"/>
          <w:lang w:val="en-GB"/>
        </w:rPr>
        <w:t>.</w:t>
      </w:r>
    </w:p>
    <w:p w:rsidR="000977A1" w:rsidRDefault="000977A1" w:rsidP="00757317">
      <w:pPr>
        <w:ind w:left="561" w:hanging="561"/>
        <w:rPr>
          <w:rFonts w:ascii="Arial" w:hAnsi="Arial" w:cs="Arial"/>
          <w:bCs/>
          <w:sz w:val="22"/>
          <w:szCs w:val="22"/>
          <w:lang w:val="en-GB"/>
        </w:rPr>
      </w:pPr>
    </w:p>
    <w:p w:rsidR="000977A1" w:rsidRDefault="000977A1" w:rsidP="00757317">
      <w:pPr>
        <w:ind w:left="561" w:hanging="561"/>
        <w:rPr>
          <w:rFonts w:ascii="Arial" w:hAnsi="Arial" w:cs="Arial"/>
          <w:b/>
          <w:bCs/>
          <w:sz w:val="22"/>
          <w:szCs w:val="22"/>
          <w:lang w:val="en-GB"/>
        </w:rPr>
      </w:pPr>
      <w:r>
        <w:rPr>
          <w:rFonts w:ascii="Arial" w:hAnsi="Arial" w:cs="Arial"/>
          <w:bCs/>
          <w:sz w:val="22"/>
          <w:szCs w:val="22"/>
          <w:lang w:val="en-GB"/>
        </w:rPr>
        <w:tab/>
      </w:r>
      <w:r w:rsidR="00656222">
        <w:rPr>
          <w:rFonts w:ascii="Arial" w:hAnsi="Arial" w:cs="Arial"/>
          <w:b/>
          <w:bCs/>
          <w:sz w:val="22"/>
          <w:szCs w:val="22"/>
          <w:lang w:val="en-GB"/>
        </w:rPr>
        <w:t>Postgraduate research</w:t>
      </w:r>
    </w:p>
    <w:p w:rsidR="00D32A00" w:rsidRDefault="000977A1" w:rsidP="00757317">
      <w:pPr>
        <w:ind w:left="561" w:hanging="561"/>
        <w:rPr>
          <w:rFonts w:ascii="Arial" w:hAnsi="Arial" w:cs="Arial"/>
          <w:bCs/>
          <w:sz w:val="22"/>
          <w:szCs w:val="22"/>
          <w:lang w:val="en-GB"/>
        </w:rPr>
      </w:pPr>
      <w:r>
        <w:rPr>
          <w:rFonts w:ascii="Arial" w:hAnsi="Arial" w:cs="Arial"/>
          <w:b/>
          <w:bCs/>
          <w:sz w:val="22"/>
          <w:szCs w:val="22"/>
          <w:lang w:val="en-GB"/>
        </w:rPr>
        <w:tab/>
      </w:r>
      <w:r>
        <w:rPr>
          <w:rFonts w:ascii="Arial" w:hAnsi="Arial" w:cs="Arial"/>
          <w:bCs/>
          <w:sz w:val="22"/>
          <w:szCs w:val="22"/>
          <w:lang w:val="en-GB"/>
        </w:rPr>
        <w:t>Completion rates were improving, with 77.6% of students completing within five years in 2015, compared to 74.0% in 2014.</w:t>
      </w:r>
      <w:r w:rsidR="009B3B9F">
        <w:rPr>
          <w:rFonts w:ascii="Arial" w:hAnsi="Arial" w:cs="Arial"/>
          <w:bCs/>
          <w:sz w:val="22"/>
          <w:szCs w:val="22"/>
          <w:lang w:val="en-GB"/>
        </w:rPr>
        <w:t xml:space="preserve"> </w:t>
      </w:r>
      <w:r w:rsidR="007A0B4F">
        <w:rPr>
          <w:rFonts w:ascii="Arial" w:hAnsi="Arial" w:cs="Arial"/>
          <w:bCs/>
          <w:sz w:val="22"/>
          <w:szCs w:val="22"/>
          <w:lang w:val="en-GB"/>
        </w:rPr>
        <w:t xml:space="preserve">The University target was 90%. </w:t>
      </w:r>
      <w:r w:rsidR="00990A4F">
        <w:rPr>
          <w:rFonts w:ascii="Arial" w:hAnsi="Arial" w:cs="Arial"/>
          <w:bCs/>
          <w:sz w:val="22"/>
          <w:szCs w:val="22"/>
          <w:lang w:val="en-GB"/>
        </w:rPr>
        <w:t>Mathem</w:t>
      </w:r>
      <w:r w:rsidR="00EE5598">
        <w:rPr>
          <w:rFonts w:ascii="Arial" w:hAnsi="Arial" w:cs="Arial"/>
          <w:bCs/>
          <w:sz w:val="22"/>
          <w:szCs w:val="22"/>
          <w:lang w:val="en-GB"/>
        </w:rPr>
        <w:t>a</w:t>
      </w:r>
      <w:r w:rsidR="00990A4F">
        <w:rPr>
          <w:rFonts w:ascii="Arial" w:hAnsi="Arial" w:cs="Arial"/>
          <w:bCs/>
          <w:sz w:val="22"/>
          <w:szCs w:val="22"/>
          <w:lang w:val="en-GB"/>
        </w:rPr>
        <w:t xml:space="preserve">tics </w:t>
      </w:r>
      <w:r>
        <w:rPr>
          <w:rFonts w:ascii="Arial" w:hAnsi="Arial" w:cs="Arial"/>
          <w:bCs/>
          <w:sz w:val="22"/>
          <w:szCs w:val="22"/>
          <w:lang w:val="en-GB"/>
        </w:rPr>
        <w:t>was congratulated for its 100% completion rate, as well as Physics</w:t>
      </w:r>
      <w:r w:rsidR="00990A4F">
        <w:rPr>
          <w:rFonts w:ascii="Arial" w:hAnsi="Arial" w:cs="Arial"/>
          <w:bCs/>
          <w:sz w:val="22"/>
          <w:szCs w:val="22"/>
          <w:lang w:val="en-GB"/>
        </w:rPr>
        <w:t xml:space="preserve"> and Astronomy</w:t>
      </w:r>
      <w:r>
        <w:rPr>
          <w:rFonts w:ascii="Arial" w:hAnsi="Arial" w:cs="Arial"/>
          <w:bCs/>
          <w:sz w:val="22"/>
          <w:szCs w:val="22"/>
          <w:lang w:val="en-GB"/>
        </w:rPr>
        <w:t xml:space="preserve"> with 92.2%. The Faculty recognised that the main issue was non-completion rather than late submission. It had undertaken a number of actions to improve completion rates, including tightening up the </w:t>
      </w:r>
      <w:r w:rsidR="00990A4F">
        <w:rPr>
          <w:rFonts w:ascii="Arial" w:hAnsi="Arial" w:cs="Arial"/>
          <w:bCs/>
          <w:sz w:val="22"/>
          <w:szCs w:val="22"/>
          <w:lang w:val="en-GB"/>
        </w:rPr>
        <w:t xml:space="preserve">end of year </w:t>
      </w:r>
      <w:r>
        <w:rPr>
          <w:rFonts w:ascii="Arial" w:hAnsi="Arial" w:cs="Arial"/>
          <w:bCs/>
          <w:sz w:val="22"/>
          <w:szCs w:val="22"/>
          <w:lang w:val="en-GB"/>
        </w:rPr>
        <w:t>exam</w:t>
      </w:r>
      <w:r w:rsidR="00990A4F">
        <w:rPr>
          <w:rFonts w:ascii="Arial" w:hAnsi="Arial" w:cs="Arial"/>
          <w:bCs/>
          <w:sz w:val="22"/>
          <w:szCs w:val="22"/>
          <w:lang w:val="en-GB"/>
        </w:rPr>
        <w:t>ination</w:t>
      </w:r>
      <w:r w:rsidR="00EE5598">
        <w:rPr>
          <w:rFonts w:ascii="Arial" w:hAnsi="Arial" w:cs="Arial"/>
          <w:bCs/>
          <w:sz w:val="22"/>
          <w:szCs w:val="22"/>
          <w:lang w:val="en-GB"/>
        </w:rPr>
        <w:t xml:space="preserve"> </w:t>
      </w:r>
      <w:r>
        <w:rPr>
          <w:rFonts w:ascii="Arial" w:hAnsi="Arial" w:cs="Arial"/>
          <w:bCs/>
          <w:sz w:val="22"/>
          <w:szCs w:val="22"/>
          <w:lang w:val="en-GB"/>
        </w:rPr>
        <w:t xml:space="preserve">process and increasing the quality of intake, but noted that there would be a five year time lag to see </w:t>
      </w:r>
      <w:r w:rsidR="008B1F3D">
        <w:rPr>
          <w:rFonts w:ascii="Arial" w:hAnsi="Arial" w:cs="Arial"/>
          <w:bCs/>
          <w:sz w:val="22"/>
          <w:szCs w:val="22"/>
          <w:lang w:val="en-GB"/>
        </w:rPr>
        <w:t>the benefits from these initiatives</w:t>
      </w:r>
      <w:r>
        <w:rPr>
          <w:rFonts w:ascii="Arial" w:hAnsi="Arial" w:cs="Arial"/>
          <w:bCs/>
          <w:sz w:val="22"/>
          <w:szCs w:val="22"/>
          <w:lang w:val="en-GB"/>
        </w:rPr>
        <w:t>.</w:t>
      </w:r>
    </w:p>
    <w:p w:rsidR="000977A1" w:rsidRDefault="000977A1" w:rsidP="00757317">
      <w:pPr>
        <w:ind w:left="561" w:hanging="561"/>
        <w:rPr>
          <w:rFonts w:ascii="Arial" w:hAnsi="Arial" w:cs="Arial"/>
          <w:bCs/>
          <w:sz w:val="22"/>
          <w:szCs w:val="22"/>
          <w:lang w:val="en-GB"/>
        </w:rPr>
      </w:pPr>
    </w:p>
    <w:p w:rsidR="000977A1" w:rsidRDefault="000977A1" w:rsidP="00757317">
      <w:pPr>
        <w:ind w:left="561" w:hanging="561"/>
        <w:rPr>
          <w:rFonts w:ascii="Arial" w:hAnsi="Arial" w:cs="Arial"/>
          <w:bCs/>
          <w:sz w:val="22"/>
          <w:szCs w:val="22"/>
          <w:lang w:val="en-GB"/>
        </w:rPr>
      </w:pPr>
      <w:r>
        <w:rPr>
          <w:rFonts w:ascii="Arial" w:hAnsi="Arial" w:cs="Arial"/>
          <w:bCs/>
          <w:sz w:val="22"/>
          <w:szCs w:val="22"/>
          <w:lang w:val="en-GB"/>
        </w:rPr>
        <w:tab/>
        <w:t xml:space="preserve">The Review Group noted that the results from the Postgraduate </w:t>
      </w:r>
      <w:r w:rsidR="00DF7174">
        <w:rPr>
          <w:rFonts w:ascii="Arial" w:hAnsi="Arial" w:cs="Arial"/>
          <w:bCs/>
          <w:sz w:val="22"/>
          <w:szCs w:val="22"/>
          <w:lang w:val="en-GB"/>
        </w:rPr>
        <w:t>Research</w:t>
      </w:r>
      <w:r>
        <w:rPr>
          <w:rFonts w:ascii="Arial" w:hAnsi="Arial" w:cs="Arial"/>
          <w:bCs/>
          <w:sz w:val="22"/>
          <w:szCs w:val="22"/>
          <w:lang w:val="en-GB"/>
        </w:rPr>
        <w:t xml:space="preserve"> Experience Survey (PRES) showed an improvement </w:t>
      </w:r>
      <w:r w:rsidR="00C667D5">
        <w:rPr>
          <w:rFonts w:ascii="Arial" w:hAnsi="Arial" w:cs="Arial"/>
          <w:bCs/>
          <w:sz w:val="22"/>
          <w:szCs w:val="22"/>
          <w:lang w:val="en-GB"/>
        </w:rPr>
        <w:t xml:space="preserve">in </w:t>
      </w:r>
      <w:r>
        <w:rPr>
          <w:rFonts w:ascii="Arial" w:hAnsi="Arial" w:cs="Arial"/>
          <w:bCs/>
          <w:sz w:val="22"/>
          <w:szCs w:val="22"/>
          <w:lang w:val="en-GB"/>
        </w:rPr>
        <w:t xml:space="preserve">overall satisfaction from 81.2% in 2013 to 84.3% in 2015. </w:t>
      </w:r>
      <w:r w:rsidR="00DF7174">
        <w:rPr>
          <w:rFonts w:ascii="Arial" w:hAnsi="Arial" w:cs="Arial"/>
          <w:bCs/>
          <w:sz w:val="22"/>
          <w:szCs w:val="22"/>
          <w:lang w:val="en-GB"/>
        </w:rPr>
        <w:t xml:space="preserve">However, the </w:t>
      </w:r>
      <w:r w:rsidR="00656222">
        <w:rPr>
          <w:rFonts w:ascii="Arial" w:hAnsi="Arial" w:cs="Arial"/>
          <w:bCs/>
          <w:sz w:val="22"/>
          <w:szCs w:val="22"/>
          <w:lang w:val="en-GB"/>
        </w:rPr>
        <w:t xml:space="preserve">Faculty’s </w:t>
      </w:r>
      <w:r w:rsidR="00DF7174">
        <w:rPr>
          <w:rFonts w:ascii="Arial" w:hAnsi="Arial" w:cs="Arial"/>
          <w:bCs/>
          <w:sz w:val="22"/>
          <w:szCs w:val="22"/>
          <w:lang w:val="en-GB"/>
        </w:rPr>
        <w:t xml:space="preserve">scores were generally lower than the University average which was a concern. The Faculty reported that it was </w:t>
      </w:r>
      <w:r w:rsidR="008B1F3D">
        <w:rPr>
          <w:rFonts w:ascii="Arial" w:hAnsi="Arial" w:cs="Arial"/>
          <w:bCs/>
          <w:sz w:val="22"/>
          <w:szCs w:val="22"/>
          <w:lang w:val="en-GB"/>
        </w:rPr>
        <w:t xml:space="preserve">already </w:t>
      </w:r>
      <w:r w:rsidR="00DF7174">
        <w:rPr>
          <w:rFonts w:ascii="Arial" w:hAnsi="Arial" w:cs="Arial"/>
          <w:bCs/>
          <w:sz w:val="22"/>
          <w:szCs w:val="22"/>
          <w:lang w:val="en-GB"/>
        </w:rPr>
        <w:t>looking closely at supervision, but agreed that more analysis was required to understand these differences, and that it was important to drill down to School level.</w:t>
      </w:r>
    </w:p>
    <w:p w:rsidR="00DF7174" w:rsidRDefault="00DF7174" w:rsidP="00757317">
      <w:pPr>
        <w:ind w:left="561" w:hanging="561"/>
        <w:rPr>
          <w:rFonts w:ascii="Arial" w:hAnsi="Arial" w:cs="Arial"/>
          <w:b/>
          <w:bCs/>
          <w:sz w:val="22"/>
          <w:szCs w:val="22"/>
          <w:lang w:val="en-GB"/>
        </w:rPr>
      </w:pPr>
      <w:r>
        <w:rPr>
          <w:rFonts w:ascii="Arial" w:hAnsi="Arial" w:cs="Arial"/>
          <w:bCs/>
          <w:sz w:val="22"/>
          <w:szCs w:val="22"/>
          <w:lang w:val="en-GB"/>
        </w:rPr>
        <w:tab/>
      </w:r>
      <w:r>
        <w:rPr>
          <w:rFonts w:ascii="Arial" w:hAnsi="Arial" w:cs="Arial"/>
          <w:b/>
          <w:bCs/>
          <w:sz w:val="22"/>
          <w:szCs w:val="22"/>
          <w:lang w:val="en-GB"/>
        </w:rPr>
        <w:t>ACTION: to analyse the PRES results at School level to find out reasons for lower levels of satisfaction compare</w:t>
      </w:r>
      <w:r w:rsidR="008B1F3D">
        <w:rPr>
          <w:rFonts w:ascii="Arial" w:hAnsi="Arial" w:cs="Arial"/>
          <w:b/>
          <w:bCs/>
          <w:sz w:val="22"/>
          <w:szCs w:val="22"/>
          <w:lang w:val="en-GB"/>
        </w:rPr>
        <w:t xml:space="preserve">d to the University average, and to </w:t>
      </w:r>
      <w:r w:rsidR="00656222">
        <w:rPr>
          <w:rFonts w:ascii="Arial" w:hAnsi="Arial" w:cs="Arial"/>
          <w:b/>
          <w:bCs/>
          <w:sz w:val="22"/>
          <w:szCs w:val="22"/>
          <w:lang w:val="en-GB"/>
        </w:rPr>
        <w:t>report on actions taken next year</w:t>
      </w:r>
      <w:r w:rsidR="008B1F3D">
        <w:rPr>
          <w:rFonts w:ascii="Arial" w:hAnsi="Arial" w:cs="Arial"/>
          <w:b/>
          <w:bCs/>
          <w:sz w:val="22"/>
          <w:szCs w:val="22"/>
          <w:lang w:val="en-GB"/>
        </w:rPr>
        <w:t>.</w:t>
      </w:r>
    </w:p>
    <w:p w:rsidR="000E0EB2" w:rsidRDefault="00DF7174" w:rsidP="008B1F3D">
      <w:pPr>
        <w:ind w:left="561" w:hanging="561"/>
        <w:rPr>
          <w:rFonts w:ascii="Arial" w:hAnsi="Arial" w:cs="Arial"/>
          <w:bCs/>
          <w:sz w:val="22"/>
          <w:szCs w:val="22"/>
          <w:lang w:val="en-GB"/>
        </w:rPr>
      </w:pPr>
      <w:r>
        <w:rPr>
          <w:rFonts w:ascii="Arial" w:hAnsi="Arial" w:cs="Arial"/>
          <w:b/>
          <w:bCs/>
          <w:sz w:val="22"/>
          <w:szCs w:val="22"/>
          <w:lang w:val="en-GB"/>
        </w:rPr>
        <w:lastRenderedPageBreak/>
        <w:tab/>
      </w:r>
      <w:r w:rsidR="00A6064D">
        <w:rPr>
          <w:rFonts w:ascii="Arial" w:hAnsi="Arial" w:cs="Arial"/>
          <w:bCs/>
          <w:sz w:val="22"/>
          <w:szCs w:val="22"/>
          <w:lang w:val="en-GB"/>
        </w:rPr>
        <w:t xml:space="preserve">PGR numbers were improving but the Review Group queried whether the rate of growth was sufficient. The Faculty felt it was currently on track in terms of </w:t>
      </w:r>
      <w:r w:rsidR="008F4708">
        <w:rPr>
          <w:rFonts w:ascii="Arial" w:hAnsi="Arial" w:cs="Arial"/>
          <w:bCs/>
          <w:sz w:val="22"/>
          <w:szCs w:val="22"/>
          <w:lang w:val="en-GB"/>
        </w:rPr>
        <w:t>its own</w:t>
      </w:r>
      <w:r w:rsidR="00A6064D">
        <w:rPr>
          <w:rFonts w:ascii="Arial" w:hAnsi="Arial" w:cs="Arial"/>
          <w:bCs/>
          <w:sz w:val="22"/>
          <w:szCs w:val="22"/>
          <w:lang w:val="en-GB"/>
        </w:rPr>
        <w:t xml:space="preserve"> targets but the challenge was to maintain this </w:t>
      </w:r>
      <w:r w:rsidR="00656222">
        <w:rPr>
          <w:rFonts w:ascii="Arial" w:hAnsi="Arial" w:cs="Arial"/>
          <w:bCs/>
          <w:sz w:val="22"/>
          <w:szCs w:val="22"/>
          <w:lang w:val="en-GB"/>
        </w:rPr>
        <w:t xml:space="preserve">trajectory </w:t>
      </w:r>
      <w:r w:rsidR="00A6064D">
        <w:rPr>
          <w:rFonts w:ascii="Arial" w:hAnsi="Arial" w:cs="Arial"/>
          <w:bCs/>
          <w:sz w:val="22"/>
          <w:szCs w:val="22"/>
          <w:lang w:val="en-GB"/>
        </w:rPr>
        <w:t xml:space="preserve">to meet the target in 2020. It was </w:t>
      </w:r>
      <w:r w:rsidR="00656222">
        <w:rPr>
          <w:rFonts w:ascii="Arial" w:hAnsi="Arial" w:cs="Arial"/>
          <w:bCs/>
          <w:sz w:val="22"/>
          <w:szCs w:val="22"/>
          <w:lang w:val="en-GB"/>
        </w:rPr>
        <w:t xml:space="preserve">becoming more </w:t>
      </w:r>
      <w:r w:rsidR="00A6064D">
        <w:rPr>
          <w:rFonts w:ascii="Arial" w:hAnsi="Arial" w:cs="Arial"/>
          <w:bCs/>
          <w:sz w:val="22"/>
          <w:szCs w:val="22"/>
          <w:lang w:val="en-GB"/>
        </w:rPr>
        <w:t xml:space="preserve">challenging to increase numbers year-on-year and a strategic overview was required to focus on the areas with capacity for growth. Student funding was a known issue, and internships were considered to be a good option to help support students. </w:t>
      </w:r>
      <w:r w:rsidR="007A0B4F">
        <w:rPr>
          <w:rFonts w:ascii="Arial" w:hAnsi="Arial" w:cs="Arial"/>
          <w:bCs/>
          <w:sz w:val="22"/>
          <w:szCs w:val="22"/>
          <w:lang w:val="en-GB"/>
        </w:rPr>
        <w:t xml:space="preserve">The Faculty was working with business engagement </w:t>
      </w:r>
      <w:r w:rsidR="00656222">
        <w:rPr>
          <w:rFonts w:ascii="Arial" w:hAnsi="Arial" w:cs="Arial"/>
          <w:bCs/>
          <w:sz w:val="22"/>
          <w:szCs w:val="22"/>
          <w:lang w:val="en-GB"/>
        </w:rPr>
        <w:t xml:space="preserve">colleagues </w:t>
      </w:r>
      <w:r w:rsidR="007A0B4F">
        <w:rPr>
          <w:rFonts w:ascii="Arial" w:hAnsi="Arial" w:cs="Arial"/>
          <w:bCs/>
          <w:sz w:val="22"/>
          <w:szCs w:val="22"/>
          <w:lang w:val="en-GB"/>
        </w:rPr>
        <w:t xml:space="preserve">to seek industrial support for PhDs. It </w:t>
      </w:r>
      <w:r w:rsidR="0039789A">
        <w:rPr>
          <w:rFonts w:ascii="Arial" w:hAnsi="Arial" w:cs="Arial"/>
          <w:bCs/>
          <w:sz w:val="22"/>
          <w:szCs w:val="22"/>
          <w:lang w:val="en-GB"/>
        </w:rPr>
        <w:t xml:space="preserve">was </w:t>
      </w:r>
      <w:r w:rsidR="007A0B4F">
        <w:rPr>
          <w:rFonts w:ascii="Arial" w:hAnsi="Arial" w:cs="Arial"/>
          <w:bCs/>
          <w:sz w:val="22"/>
          <w:szCs w:val="22"/>
          <w:lang w:val="en-GB"/>
        </w:rPr>
        <w:t xml:space="preserve">also </w:t>
      </w:r>
      <w:r w:rsidR="0039789A">
        <w:rPr>
          <w:rFonts w:ascii="Arial" w:hAnsi="Arial" w:cs="Arial"/>
          <w:bCs/>
          <w:sz w:val="22"/>
          <w:szCs w:val="22"/>
          <w:lang w:val="en-GB"/>
        </w:rPr>
        <w:t>expanding its overseas initiatives, for example building a relationship with King Saud University, and was working hard to ensure</w:t>
      </w:r>
      <w:r w:rsidR="007A0B4F">
        <w:rPr>
          <w:rFonts w:ascii="Arial" w:hAnsi="Arial" w:cs="Arial"/>
          <w:bCs/>
          <w:sz w:val="22"/>
          <w:szCs w:val="22"/>
          <w:lang w:val="en-GB"/>
        </w:rPr>
        <w:t xml:space="preserve"> that</w:t>
      </w:r>
      <w:r w:rsidR="0039789A">
        <w:rPr>
          <w:rFonts w:ascii="Arial" w:hAnsi="Arial" w:cs="Arial"/>
          <w:bCs/>
          <w:sz w:val="22"/>
          <w:szCs w:val="22"/>
          <w:lang w:val="en-GB"/>
        </w:rPr>
        <w:t xml:space="preserve"> the quality of </w:t>
      </w:r>
      <w:r w:rsidR="001E5D87">
        <w:rPr>
          <w:rFonts w:ascii="Arial" w:hAnsi="Arial" w:cs="Arial"/>
          <w:bCs/>
          <w:sz w:val="22"/>
          <w:szCs w:val="22"/>
          <w:lang w:val="en-GB"/>
        </w:rPr>
        <w:t xml:space="preserve">applications and </w:t>
      </w:r>
      <w:r w:rsidR="0039789A">
        <w:rPr>
          <w:rFonts w:ascii="Arial" w:hAnsi="Arial" w:cs="Arial"/>
          <w:bCs/>
          <w:sz w:val="22"/>
          <w:szCs w:val="22"/>
          <w:lang w:val="en-GB"/>
        </w:rPr>
        <w:t>intake was high</w:t>
      </w:r>
      <w:r w:rsidR="007A0B4F">
        <w:rPr>
          <w:rFonts w:ascii="Arial" w:hAnsi="Arial" w:cs="Arial"/>
          <w:bCs/>
          <w:sz w:val="22"/>
          <w:szCs w:val="22"/>
          <w:lang w:val="en-GB"/>
        </w:rPr>
        <w:t>, which was a challenge</w:t>
      </w:r>
      <w:r w:rsidR="0039789A">
        <w:rPr>
          <w:rFonts w:ascii="Arial" w:hAnsi="Arial" w:cs="Arial"/>
          <w:bCs/>
          <w:sz w:val="22"/>
          <w:szCs w:val="22"/>
          <w:lang w:val="en-GB"/>
        </w:rPr>
        <w:t xml:space="preserve">. </w:t>
      </w:r>
    </w:p>
    <w:p w:rsidR="008F4708" w:rsidRPr="008F4708" w:rsidRDefault="008F4708" w:rsidP="008B1F3D">
      <w:pPr>
        <w:ind w:left="561" w:hanging="561"/>
        <w:rPr>
          <w:rFonts w:ascii="Arial" w:hAnsi="Arial" w:cs="Arial"/>
          <w:b/>
          <w:bCs/>
          <w:sz w:val="22"/>
          <w:szCs w:val="22"/>
          <w:lang w:val="en-GB"/>
        </w:rPr>
      </w:pPr>
      <w:r>
        <w:rPr>
          <w:rFonts w:ascii="Arial" w:hAnsi="Arial" w:cs="Arial"/>
          <w:bCs/>
          <w:sz w:val="22"/>
          <w:szCs w:val="22"/>
          <w:lang w:val="en-GB"/>
        </w:rPr>
        <w:tab/>
      </w:r>
      <w:r w:rsidRPr="008F4708">
        <w:rPr>
          <w:rFonts w:ascii="Arial" w:hAnsi="Arial" w:cs="Arial"/>
          <w:b/>
          <w:bCs/>
          <w:sz w:val="22"/>
          <w:szCs w:val="22"/>
          <w:lang w:val="en-GB"/>
        </w:rPr>
        <w:t>ACTION: to continue to increase the number of PGR students.</w:t>
      </w:r>
    </w:p>
    <w:p w:rsidR="00DE4996" w:rsidRPr="00D537FE" w:rsidRDefault="00DE4996" w:rsidP="00DE4996">
      <w:pPr>
        <w:ind w:left="561"/>
        <w:rPr>
          <w:rFonts w:ascii="Arial" w:hAnsi="Arial" w:cs="Arial"/>
          <w:bCs/>
          <w:sz w:val="20"/>
          <w:szCs w:val="20"/>
          <w:lang w:val="en-GB"/>
        </w:rPr>
      </w:pPr>
    </w:p>
    <w:p w:rsidR="00DE4996" w:rsidRPr="00CC0FC6" w:rsidRDefault="00997A0E" w:rsidP="00DE4996">
      <w:pPr>
        <w:tabs>
          <w:tab w:val="left" w:pos="561"/>
        </w:tabs>
        <w:rPr>
          <w:rFonts w:ascii="Arial" w:hAnsi="Arial" w:cs="Arial"/>
          <w:b/>
          <w:sz w:val="22"/>
          <w:szCs w:val="22"/>
          <w:lang w:val="en-GB"/>
        </w:rPr>
      </w:pPr>
      <w:r>
        <w:rPr>
          <w:rFonts w:ascii="Arial" w:hAnsi="Arial" w:cs="Arial"/>
          <w:b/>
          <w:sz w:val="22"/>
          <w:szCs w:val="22"/>
          <w:lang w:val="en-GB"/>
        </w:rPr>
        <w:t>7</w:t>
      </w:r>
      <w:r w:rsidR="00DE4996" w:rsidRPr="00CC0FC6">
        <w:rPr>
          <w:rFonts w:ascii="Arial" w:hAnsi="Arial" w:cs="Arial"/>
          <w:b/>
          <w:sz w:val="22"/>
          <w:szCs w:val="22"/>
          <w:lang w:val="en-GB"/>
        </w:rPr>
        <w:t>.</w:t>
      </w:r>
      <w:r w:rsidR="00DE4996" w:rsidRPr="00CC0FC6">
        <w:rPr>
          <w:rFonts w:ascii="Arial" w:hAnsi="Arial" w:cs="Arial"/>
          <w:b/>
          <w:sz w:val="22"/>
          <w:szCs w:val="22"/>
          <w:lang w:val="en-GB"/>
        </w:rPr>
        <w:tab/>
        <w:t>Goal Two – Outstanding Learning and Student Experience</w:t>
      </w:r>
    </w:p>
    <w:p w:rsidR="00DE4996" w:rsidRPr="00D537FE" w:rsidRDefault="00DE4996" w:rsidP="00DE4996">
      <w:pPr>
        <w:ind w:left="561"/>
        <w:rPr>
          <w:rFonts w:ascii="Arial" w:hAnsi="Arial" w:cs="Arial"/>
          <w:b/>
          <w:sz w:val="20"/>
          <w:szCs w:val="20"/>
          <w:lang w:val="en-GB"/>
        </w:rPr>
      </w:pPr>
    </w:p>
    <w:p w:rsidR="00F530CD" w:rsidRPr="00F530CD" w:rsidRDefault="00AB75FF" w:rsidP="00881273">
      <w:pPr>
        <w:ind w:left="561"/>
        <w:rPr>
          <w:rFonts w:ascii="Arial" w:hAnsi="Arial" w:cs="Arial"/>
          <w:sz w:val="22"/>
          <w:szCs w:val="22"/>
          <w:lang w:val="en-GB"/>
        </w:rPr>
      </w:pPr>
      <w:r>
        <w:rPr>
          <w:rFonts w:ascii="Arial" w:hAnsi="Arial" w:cs="Arial"/>
          <w:sz w:val="22"/>
          <w:szCs w:val="22"/>
          <w:lang w:val="en-GB"/>
        </w:rPr>
        <w:t xml:space="preserve">The Faculty was congratulated on its excellent performance in teaching and learning, </w:t>
      </w:r>
      <w:r w:rsidR="00D37162">
        <w:rPr>
          <w:rFonts w:ascii="Arial" w:hAnsi="Arial" w:cs="Arial"/>
          <w:sz w:val="22"/>
          <w:szCs w:val="22"/>
          <w:lang w:val="en-GB"/>
        </w:rPr>
        <w:t>highlighting</w:t>
      </w:r>
      <w:r>
        <w:rPr>
          <w:rFonts w:ascii="Arial" w:hAnsi="Arial" w:cs="Arial"/>
          <w:sz w:val="22"/>
          <w:szCs w:val="22"/>
          <w:lang w:val="en-GB"/>
        </w:rPr>
        <w:t xml:space="preserve"> </w:t>
      </w:r>
      <w:r w:rsidR="00430A1D">
        <w:rPr>
          <w:rFonts w:ascii="Arial" w:hAnsi="Arial" w:cs="Arial"/>
          <w:sz w:val="22"/>
          <w:szCs w:val="22"/>
          <w:lang w:val="en-GB"/>
        </w:rPr>
        <w:t xml:space="preserve">overall </w:t>
      </w:r>
      <w:r>
        <w:rPr>
          <w:rFonts w:ascii="Arial" w:hAnsi="Arial" w:cs="Arial"/>
          <w:sz w:val="22"/>
          <w:szCs w:val="22"/>
          <w:lang w:val="en-GB"/>
        </w:rPr>
        <w:t xml:space="preserve">improvements in employability, recruitment, tariff scores, and widening participation. The Review Group </w:t>
      </w:r>
      <w:r w:rsidR="00D37162">
        <w:rPr>
          <w:rFonts w:ascii="Arial" w:hAnsi="Arial" w:cs="Arial"/>
          <w:sz w:val="22"/>
          <w:szCs w:val="22"/>
          <w:lang w:val="en-GB"/>
        </w:rPr>
        <w:t xml:space="preserve">reminded the Faculty </w:t>
      </w:r>
      <w:r w:rsidR="00523479">
        <w:rPr>
          <w:rFonts w:ascii="Arial" w:hAnsi="Arial" w:cs="Arial"/>
          <w:sz w:val="22"/>
          <w:szCs w:val="22"/>
          <w:lang w:val="en-GB"/>
        </w:rPr>
        <w:t>of the need to benchmark</w:t>
      </w:r>
      <w:r w:rsidR="00D37162">
        <w:rPr>
          <w:rFonts w:ascii="Arial" w:hAnsi="Arial" w:cs="Arial"/>
          <w:sz w:val="22"/>
          <w:szCs w:val="22"/>
          <w:lang w:val="en-GB"/>
        </w:rPr>
        <w:t xml:space="preserve"> its performance </w:t>
      </w:r>
      <w:r w:rsidR="00523479">
        <w:rPr>
          <w:rFonts w:ascii="Arial" w:hAnsi="Arial" w:cs="Arial"/>
          <w:sz w:val="22"/>
          <w:szCs w:val="22"/>
          <w:lang w:val="en-GB"/>
        </w:rPr>
        <w:t xml:space="preserve">at subject and discipline level </w:t>
      </w:r>
      <w:r w:rsidR="00D37162">
        <w:rPr>
          <w:rFonts w:ascii="Arial" w:hAnsi="Arial" w:cs="Arial"/>
          <w:sz w:val="22"/>
          <w:szCs w:val="22"/>
          <w:lang w:val="en-GB"/>
        </w:rPr>
        <w:t>in the light of the</w:t>
      </w:r>
      <w:r>
        <w:rPr>
          <w:rFonts w:ascii="Arial" w:hAnsi="Arial" w:cs="Arial"/>
          <w:sz w:val="22"/>
          <w:szCs w:val="22"/>
          <w:lang w:val="en-GB"/>
        </w:rPr>
        <w:t xml:space="preserve"> forthcoming teaching excellence framework (TEF)</w:t>
      </w:r>
      <w:r w:rsidR="00D37162">
        <w:rPr>
          <w:rFonts w:ascii="Arial" w:hAnsi="Arial" w:cs="Arial"/>
          <w:sz w:val="22"/>
          <w:szCs w:val="22"/>
          <w:lang w:val="en-GB"/>
        </w:rPr>
        <w:t>.</w:t>
      </w:r>
      <w:r w:rsidR="00881273">
        <w:rPr>
          <w:rFonts w:ascii="Arial" w:hAnsi="Arial" w:cs="Arial"/>
          <w:sz w:val="22"/>
          <w:szCs w:val="22"/>
          <w:lang w:val="en-GB"/>
        </w:rPr>
        <w:t xml:space="preserve"> </w:t>
      </w:r>
      <w:r w:rsidR="00F530CD">
        <w:rPr>
          <w:rFonts w:ascii="Arial" w:hAnsi="Arial" w:cs="Arial"/>
          <w:sz w:val="22"/>
          <w:szCs w:val="22"/>
          <w:lang w:val="en-GB"/>
        </w:rPr>
        <w:t xml:space="preserve">The Faculty reported that this was a challenging and exciting time due to the opportunities to be realised from MECD and the Faculty restructure following the Review of Life Sciences and Cognate Disciplines. It </w:t>
      </w:r>
      <w:r w:rsidR="00881273">
        <w:rPr>
          <w:rFonts w:ascii="Arial" w:hAnsi="Arial" w:cs="Arial"/>
          <w:sz w:val="22"/>
          <w:szCs w:val="22"/>
          <w:lang w:val="en-GB"/>
        </w:rPr>
        <w:t>acknowledged</w:t>
      </w:r>
      <w:r w:rsidR="00F530CD">
        <w:rPr>
          <w:rFonts w:ascii="Arial" w:hAnsi="Arial" w:cs="Arial"/>
          <w:sz w:val="22"/>
          <w:szCs w:val="22"/>
          <w:lang w:val="en-GB"/>
        </w:rPr>
        <w:t xml:space="preserve"> the need to share best practice across the Faculty and between Faculties, and was considering the best pedagogic approach for cross-Faculty teaching. </w:t>
      </w:r>
      <w:r w:rsidR="00881273">
        <w:rPr>
          <w:rFonts w:ascii="Arial" w:hAnsi="Arial" w:cs="Arial"/>
          <w:sz w:val="22"/>
          <w:szCs w:val="22"/>
          <w:lang w:val="en-GB"/>
        </w:rPr>
        <w:t>The Faculty noted the commitment of its students and staff, and in particular wished to thank Dr Louise Walker who had acted as Associate Dean (Teaching and Learning)</w:t>
      </w:r>
      <w:r w:rsidR="003D60A1">
        <w:rPr>
          <w:rFonts w:ascii="Arial" w:hAnsi="Arial" w:cs="Arial"/>
          <w:sz w:val="22"/>
          <w:szCs w:val="22"/>
          <w:lang w:val="en-GB"/>
        </w:rPr>
        <w:t xml:space="preserve"> during </w:t>
      </w:r>
      <w:r w:rsidR="00990A4F">
        <w:rPr>
          <w:rFonts w:ascii="Arial" w:hAnsi="Arial" w:cs="Arial"/>
          <w:sz w:val="22"/>
          <w:szCs w:val="22"/>
          <w:lang w:val="en-GB"/>
        </w:rPr>
        <w:t xml:space="preserve">much of </w:t>
      </w:r>
      <w:r w:rsidR="003D60A1">
        <w:rPr>
          <w:rFonts w:ascii="Arial" w:hAnsi="Arial" w:cs="Arial"/>
          <w:sz w:val="22"/>
          <w:szCs w:val="22"/>
          <w:lang w:val="en-GB"/>
        </w:rPr>
        <w:t>2014/15.</w:t>
      </w:r>
    </w:p>
    <w:p w:rsidR="00D37162" w:rsidRDefault="00D37162" w:rsidP="00DE4996">
      <w:pPr>
        <w:ind w:left="561"/>
        <w:rPr>
          <w:rFonts w:ascii="Arial" w:hAnsi="Arial" w:cs="Arial"/>
          <w:sz w:val="22"/>
          <w:szCs w:val="22"/>
          <w:lang w:val="en-GB"/>
        </w:rPr>
      </w:pPr>
    </w:p>
    <w:p w:rsidR="00D37162" w:rsidRDefault="00D37162" w:rsidP="00DE4996">
      <w:pPr>
        <w:ind w:left="561"/>
        <w:rPr>
          <w:rFonts w:ascii="Arial" w:hAnsi="Arial" w:cs="Arial"/>
          <w:b/>
          <w:sz w:val="22"/>
          <w:szCs w:val="22"/>
          <w:lang w:val="en-GB"/>
        </w:rPr>
      </w:pPr>
      <w:r w:rsidRPr="00D37162">
        <w:rPr>
          <w:rFonts w:ascii="Arial" w:hAnsi="Arial" w:cs="Arial"/>
          <w:b/>
          <w:sz w:val="22"/>
          <w:szCs w:val="22"/>
          <w:lang w:val="en-GB"/>
        </w:rPr>
        <w:t>Student satisfaction</w:t>
      </w:r>
    </w:p>
    <w:p w:rsidR="00D37162" w:rsidRDefault="000103A4" w:rsidP="00DE4996">
      <w:pPr>
        <w:ind w:left="561"/>
        <w:rPr>
          <w:rFonts w:ascii="Arial" w:hAnsi="Arial" w:cs="Arial"/>
          <w:sz w:val="22"/>
          <w:szCs w:val="22"/>
          <w:lang w:val="en-GB"/>
        </w:rPr>
      </w:pPr>
      <w:r>
        <w:rPr>
          <w:rFonts w:ascii="Arial" w:hAnsi="Arial" w:cs="Arial"/>
          <w:sz w:val="22"/>
          <w:szCs w:val="22"/>
          <w:lang w:val="en-GB"/>
        </w:rPr>
        <w:t xml:space="preserve">The Review Group commended those Schools which had maintained or improved their high scores on question 22 in the NSS (Electrical and Electronic Engineering (EEE), Chemistry, and Physics and Astronomy). It noted the drop in score </w:t>
      </w:r>
      <w:r w:rsidR="00453538">
        <w:rPr>
          <w:rFonts w:ascii="Arial" w:hAnsi="Arial" w:cs="Arial"/>
          <w:sz w:val="22"/>
          <w:szCs w:val="22"/>
          <w:lang w:val="en-GB"/>
        </w:rPr>
        <w:t>(87% in 2013/14 to 69% in 2014/15)</w:t>
      </w:r>
      <w:r w:rsidR="00430A1D">
        <w:rPr>
          <w:rFonts w:ascii="Arial" w:hAnsi="Arial" w:cs="Arial"/>
          <w:sz w:val="22"/>
          <w:szCs w:val="22"/>
          <w:lang w:val="en-GB"/>
        </w:rPr>
        <w:t xml:space="preserve"> </w:t>
      </w:r>
      <w:r>
        <w:rPr>
          <w:rFonts w:ascii="Arial" w:hAnsi="Arial" w:cs="Arial"/>
          <w:sz w:val="22"/>
          <w:szCs w:val="22"/>
          <w:lang w:val="en-GB"/>
        </w:rPr>
        <w:t>for the School of Earth, Atmospheric and Environmental Sciences</w:t>
      </w:r>
      <w:r w:rsidR="00453538">
        <w:rPr>
          <w:rFonts w:ascii="Arial" w:hAnsi="Arial" w:cs="Arial"/>
          <w:sz w:val="22"/>
          <w:szCs w:val="22"/>
          <w:lang w:val="en-GB"/>
        </w:rPr>
        <w:t xml:space="preserve"> (EAES)</w:t>
      </w:r>
      <w:r>
        <w:rPr>
          <w:rFonts w:ascii="Arial" w:hAnsi="Arial" w:cs="Arial"/>
          <w:sz w:val="22"/>
          <w:szCs w:val="22"/>
          <w:lang w:val="en-GB"/>
        </w:rPr>
        <w:t xml:space="preserve">, and queried whether </w:t>
      </w:r>
      <w:r w:rsidR="00D9246E">
        <w:rPr>
          <w:rFonts w:ascii="Arial" w:hAnsi="Arial" w:cs="Arial"/>
          <w:sz w:val="22"/>
          <w:szCs w:val="22"/>
          <w:lang w:val="en-GB"/>
        </w:rPr>
        <w:t>there were any links</w:t>
      </w:r>
      <w:r>
        <w:rPr>
          <w:rFonts w:ascii="Arial" w:hAnsi="Arial" w:cs="Arial"/>
          <w:sz w:val="22"/>
          <w:szCs w:val="22"/>
          <w:lang w:val="en-GB"/>
        </w:rPr>
        <w:t xml:space="preserve"> to the School’s low rate of employability (71.3%) and </w:t>
      </w:r>
      <w:r w:rsidR="00990A4F">
        <w:rPr>
          <w:rFonts w:ascii="Arial" w:hAnsi="Arial" w:cs="Arial"/>
          <w:sz w:val="22"/>
          <w:szCs w:val="22"/>
          <w:lang w:val="en-GB"/>
        </w:rPr>
        <w:t xml:space="preserve">increasing </w:t>
      </w:r>
      <w:r>
        <w:rPr>
          <w:rFonts w:ascii="Arial" w:hAnsi="Arial" w:cs="Arial"/>
          <w:sz w:val="22"/>
          <w:szCs w:val="22"/>
          <w:lang w:val="en-GB"/>
        </w:rPr>
        <w:t xml:space="preserve">levels of international recruitment. </w:t>
      </w:r>
      <w:r w:rsidR="00453538">
        <w:rPr>
          <w:rFonts w:ascii="Arial" w:hAnsi="Arial" w:cs="Arial"/>
          <w:sz w:val="22"/>
          <w:szCs w:val="22"/>
          <w:lang w:val="en-GB"/>
        </w:rPr>
        <w:t xml:space="preserve">The School reported that there were differences in the three main disciplines within the School. Geology scored </w:t>
      </w:r>
      <w:r w:rsidR="00430A1D">
        <w:rPr>
          <w:rFonts w:ascii="Arial" w:hAnsi="Arial" w:cs="Arial"/>
          <w:sz w:val="22"/>
          <w:szCs w:val="22"/>
          <w:lang w:val="en-GB"/>
        </w:rPr>
        <w:t>highly</w:t>
      </w:r>
      <w:r w:rsidR="00453538">
        <w:rPr>
          <w:rFonts w:ascii="Arial" w:hAnsi="Arial" w:cs="Arial"/>
          <w:sz w:val="22"/>
          <w:szCs w:val="22"/>
          <w:lang w:val="en-GB"/>
        </w:rPr>
        <w:t xml:space="preserve"> on student satisfaction (93% and in the top quartile), although there were issues with employability particularly due to the recent changes in the oil and gas industries. In environmental science, student</w:t>
      </w:r>
      <w:r w:rsidR="008B1F3D">
        <w:rPr>
          <w:rFonts w:ascii="Arial" w:hAnsi="Arial" w:cs="Arial"/>
          <w:sz w:val="22"/>
          <w:szCs w:val="22"/>
          <w:lang w:val="en-GB"/>
        </w:rPr>
        <w:t>s</w:t>
      </w:r>
      <w:r w:rsidR="00453538">
        <w:rPr>
          <w:rFonts w:ascii="Arial" w:hAnsi="Arial" w:cs="Arial"/>
          <w:sz w:val="22"/>
          <w:szCs w:val="22"/>
          <w:lang w:val="en-GB"/>
        </w:rPr>
        <w:t xml:space="preserve"> often took longer to </w:t>
      </w:r>
      <w:r w:rsidR="008B1F3D">
        <w:rPr>
          <w:rFonts w:ascii="Arial" w:hAnsi="Arial" w:cs="Arial"/>
          <w:sz w:val="22"/>
          <w:szCs w:val="22"/>
          <w:lang w:val="en-GB"/>
        </w:rPr>
        <w:t>secure</w:t>
      </w:r>
      <w:r w:rsidR="00453538">
        <w:rPr>
          <w:rFonts w:ascii="Arial" w:hAnsi="Arial" w:cs="Arial"/>
          <w:sz w:val="22"/>
          <w:szCs w:val="22"/>
          <w:lang w:val="en-GB"/>
        </w:rPr>
        <w:t xml:space="preserve"> graduate jobs in the UK, </w:t>
      </w:r>
      <w:r w:rsidR="00D9246E">
        <w:rPr>
          <w:rFonts w:ascii="Arial" w:hAnsi="Arial" w:cs="Arial"/>
          <w:sz w:val="22"/>
          <w:szCs w:val="22"/>
          <w:lang w:val="en-GB"/>
        </w:rPr>
        <w:t xml:space="preserve">with a number taking a gap year, </w:t>
      </w:r>
      <w:r w:rsidR="00453538">
        <w:rPr>
          <w:rFonts w:ascii="Arial" w:hAnsi="Arial" w:cs="Arial"/>
          <w:sz w:val="22"/>
          <w:szCs w:val="22"/>
          <w:lang w:val="en-GB"/>
        </w:rPr>
        <w:t xml:space="preserve">although employability was good </w:t>
      </w:r>
      <w:r w:rsidR="00D9246E">
        <w:rPr>
          <w:rFonts w:ascii="Arial" w:hAnsi="Arial" w:cs="Arial"/>
          <w:sz w:val="22"/>
          <w:szCs w:val="22"/>
          <w:lang w:val="en-GB"/>
        </w:rPr>
        <w:t>for international students</w:t>
      </w:r>
      <w:r w:rsidR="00453538">
        <w:rPr>
          <w:rFonts w:ascii="Arial" w:hAnsi="Arial" w:cs="Arial"/>
          <w:sz w:val="22"/>
          <w:szCs w:val="22"/>
          <w:lang w:val="en-GB"/>
        </w:rPr>
        <w:t xml:space="preserve">. However, the NSS score </w:t>
      </w:r>
      <w:r w:rsidR="00430A1D">
        <w:rPr>
          <w:rFonts w:ascii="Arial" w:hAnsi="Arial" w:cs="Arial"/>
          <w:sz w:val="22"/>
          <w:szCs w:val="22"/>
          <w:lang w:val="en-GB"/>
        </w:rPr>
        <w:t xml:space="preserve">in environmental science </w:t>
      </w:r>
      <w:r w:rsidR="00453538">
        <w:rPr>
          <w:rFonts w:ascii="Arial" w:hAnsi="Arial" w:cs="Arial"/>
          <w:sz w:val="22"/>
          <w:szCs w:val="22"/>
          <w:lang w:val="en-GB"/>
        </w:rPr>
        <w:t xml:space="preserve">had fallen in 2015 due to a number of issues related to service teaching and low </w:t>
      </w:r>
      <w:r w:rsidR="00990A4F">
        <w:rPr>
          <w:rFonts w:ascii="Arial" w:hAnsi="Arial" w:cs="Arial"/>
          <w:sz w:val="22"/>
          <w:szCs w:val="22"/>
          <w:lang w:val="en-GB"/>
        </w:rPr>
        <w:t xml:space="preserve">student </w:t>
      </w:r>
      <w:r w:rsidR="00453538">
        <w:rPr>
          <w:rFonts w:ascii="Arial" w:hAnsi="Arial" w:cs="Arial"/>
          <w:sz w:val="22"/>
          <w:szCs w:val="22"/>
          <w:lang w:val="en-GB"/>
        </w:rPr>
        <w:t>numbers which had had a negative impact on the 2012 entry. The School believed that this was a one-off for this particular cohort.</w:t>
      </w:r>
      <w:r w:rsidR="00430A1D">
        <w:rPr>
          <w:rFonts w:ascii="Arial" w:hAnsi="Arial" w:cs="Arial"/>
          <w:sz w:val="22"/>
          <w:szCs w:val="22"/>
          <w:lang w:val="en-GB"/>
        </w:rPr>
        <w:t xml:space="preserve"> The biggest area for concern was petroleum engineering which </w:t>
      </w:r>
      <w:r w:rsidR="00523479">
        <w:rPr>
          <w:rFonts w:ascii="Arial" w:hAnsi="Arial" w:cs="Arial"/>
          <w:sz w:val="22"/>
          <w:szCs w:val="22"/>
          <w:lang w:val="en-GB"/>
        </w:rPr>
        <w:t xml:space="preserve">had been </w:t>
      </w:r>
      <w:r w:rsidR="00430A1D">
        <w:rPr>
          <w:rFonts w:ascii="Arial" w:hAnsi="Arial" w:cs="Arial"/>
          <w:sz w:val="22"/>
          <w:szCs w:val="22"/>
          <w:lang w:val="en-GB"/>
        </w:rPr>
        <w:t xml:space="preserve">affected by some </w:t>
      </w:r>
      <w:r w:rsidR="00523479">
        <w:rPr>
          <w:rFonts w:ascii="Arial" w:hAnsi="Arial" w:cs="Arial"/>
          <w:sz w:val="22"/>
          <w:szCs w:val="22"/>
          <w:lang w:val="en-GB"/>
        </w:rPr>
        <w:t xml:space="preserve">teaching </w:t>
      </w:r>
      <w:r w:rsidR="00430A1D">
        <w:rPr>
          <w:rFonts w:ascii="Arial" w:hAnsi="Arial" w:cs="Arial"/>
          <w:sz w:val="22"/>
          <w:szCs w:val="22"/>
          <w:lang w:val="en-GB"/>
        </w:rPr>
        <w:t xml:space="preserve">issues </w:t>
      </w:r>
      <w:r w:rsidR="00523479">
        <w:rPr>
          <w:rFonts w:ascii="Arial" w:hAnsi="Arial" w:cs="Arial"/>
          <w:sz w:val="22"/>
          <w:szCs w:val="22"/>
          <w:lang w:val="en-GB"/>
        </w:rPr>
        <w:t xml:space="preserve">with CEAS </w:t>
      </w:r>
      <w:r w:rsidR="00430A1D">
        <w:rPr>
          <w:rFonts w:ascii="Arial" w:hAnsi="Arial" w:cs="Arial"/>
          <w:sz w:val="22"/>
          <w:szCs w:val="22"/>
          <w:lang w:val="en-GB"/>
        </w:rPr>
        <w:t xml:space="preserve">related to </w:t>
      </w:r>
      <w:r w:rsidR="00523479">
        <w:rPr>
          <w:rFonts w:ascii="Arial" w:hAnsi="Arial" w:cs="Arial"/>
          <w:sz w:val="22"/>
          <w:szCs w:val="22"/>
          <w:lang w:val="en-GB"/>
        </w:rPr>
        <w:t xml:space="preserve">tariff disparities, but these </w:t>
      </w:r>
      <w:r w:rsidR="003E421B">
        <w:rPr>
          <w:rFonts w:ascii="Arial" w:hAnsi="Arial" w:cs="Arial"/>
          <w:sz w:val="22"/>
          <w:szCs w:val="22"/>
          <w:lang w:val="en-GB"/>
        </w:rPr>
        <w:t>had</w:t>
      </w:r>
      <w:r w:rsidR="00523479">
        <w:rPr>
          <w:rFonts w:ascii="Arial" w:hAnsi="Arial" w:cs="Arial"/>
          <w:sz w:val="22"/>
          <w:szCs w:val="22"/>
          <w:lang w:val="en-GB"/>
        </w:rPr>
        <w:t xml:space="preserve"> now been addressed.</w:t>
      </w:r>
      <w:r w:rsidR="00430A1D">
        <w:rPr>
          <w:rFonts w:ascii="Arial" w:hAnsi="Arial" w:cs="Arial"/>
          <w:sz w:val="22"/>
          <w:szCs w:val="22"/>
          <w:lang w:val="en-GB"/>
        </w:rPr>
        <w:t xml:space="preserve"> MACE also showed a reduced score for overall student satisfaction (80% in 2014/15 down from 82% in 2013/14) and was addressing this with a number of actions.</w:t>
      </w:r>
    </w:p>
    <w:p w:rsidR="00430A1D" w:rsidRDefault="00430A1D" w:rsidP="00DE4996">
      <w:pPr>
        <w:ind w:left="561"/>
        <w:rPr>
          <w:rFonts w:ascii="Arial" w:hAnsi="Arial" w:cs="Arial"/>
          <w:sz w:val="22"/>
          <w:szCs w:val="22"/>
          <w:lang w:val="en-GB"/>
        </w:rPr>
      </w:pPr>
    </w:p>
    <w:p w:rsidR="00430A1D" w:rsidRDefault="00430A1D" w:rsidP="00DE4996">
      <w:pPr>
        <w:ind w:left="561"/>
        <w:rPr>
          <w:rFonts w:ascii="Arial" w:hAnsi="Arial" w:cs="Arial"/>
          <w:sz w:val="22"/>
          <w:szCs w:val="22"/>
          <w:lang w:val="en-GB"/>
        </w:rPr>
      </w:pPr>
      <w:r>
        <w:rPr>
          <w:rFonts w:ascii="Arial" w:hAnsi="Arial" w:cs="Arial"/>
          <w:sz w:val="22"/>
          <w:szCs w:val="22"/>
          <w:lang w:val="en-GB"/>
        </w:rPr>
        <w:t xml:space="preserve">The </w:t>
      </w:r>
      <w:r w:rsidR="00A80D56">
        <w:rPr>
          <w:rFonts w:ascii="Arial" w:hAnsi="Arial" w:cs="Arial"/>
          <w:sz w:val="22"/>
          <w:szCs w:val="22"/>
          <w:lang w:val="en-GB"/>
        </w:rPr>
        <w:t>Review</w:t>
      </w:r>
      <w:r>
        <w:rPr>
          <w:rFonts w:ascii="Arial" w:hAnsi="Arial" w:cs="Arial"/>
          <w:sz w:val="22"/>
          <w:szCs w:val="22"/>
          <w:lang w:val="en-GB"/>
        </w:rPr>
        <w:t xml:space="preserve"> Group reported that there was likely to be a move away from question 22 in the NSS as the main measure used for benchmarking student satisfaction, and that </w:t>
      </w:r>
      <w:r w:rsidR="00A80D56">
        <w:rPr>
          <w:rFonts w:ascii="Arial" w:hAnsi="Arial" w:cs="Arial"/>
          <w:sz w:val="22"/>
          <w:szCs w:val="22"/>
          <w:lang w:val="en-GB"/>
        </w:rPr>
        <w:t xml:space="preserve">some of the </w:t>
      </w:r>
      <w:r>
        <w:rPr>
          <w:rFonts w:ascii="Arial" w:hAnsi="Arial" w:cs="Arial"/>
          <w:sz w:val="22"/>
          <w:szCs w:val="22"/>
          <w:lang w:val="en-GB"/>
        </w:rPr>
        <w:t xml:space="preserve">other questions with a more specific focus would move to the </w:t>
      </w:r>
      <w:r w:rsidR="00A80D56">
        <w:rPr>
          <w:rFonts w:ascii="Arial" w:hAnsi="Arial" w:cs="Arial"/>
          <w:sz w:val="22"/>
          <w:szCs w:val="22"/>
          <w:lang w:val="en-GB"/>
        </w:rPr>
        <w:t>forefront</w:t>
      </w:r>
      <w:r>
        <w:rPr>
          <w:rFonts w:ascii="Arial" w:hAnsi="Arial" w:cs="Arial"/>
          <w:sz w:val="22"/>
          <w:szCs w:val="22"/>
          <w:lang w:val="en-GB"/>
        </w:rPr>
        <w:t xml:space="preserve"> (e.g. </w:t>
      </w:r>
      <w:r w:rsidR="00A80D56">
        <w:rPr>
          <w:rFonts w:ascii="Arial" w:hAnsi="Arial" w:cs="Arial"/>
          <w:sz w:val="22"/>
          <w:szCs w:val="22"/>
          <w:lang w:val="en-GB"/>
        </w:rPr>
        <w:t xml:space="preserve">teaching, academic support etc). </w:t>
      </w:r>
      <w:r w:rsidR="00D9246E">
        <w:rPr>
          <w:rFonts w:ascii="Arial" w:hAnsi="Arial" w:cs="Arial"/>
          <w:sz w:val="22"/>
          <w:szCs w:val="22"/>
          <w:lang w:val="en-GB"/>
        </w:rPr>
        <w:t>The key for Schools was to drill down and analyse data at programme level to understand where improvements were required.</w:t>
      </w:r>
    </w:p>
    <w:p w:rsidR="00430A1D" w:rsidRDefault="00430A1D" w:rsidP="00DE4996">
      <w:pPr>
        <w:ind w:left="561"/>
        <w:rPr>
          <w:rFonts w:ascii="Arial" w:hAnsi="Arial" w:cs="Arial"/>
          <w:sz w:val="22"/>
          <w:szCs w:val="22"/>
          <w:lang w:val="en-GB"/>
        </w:rPr>
      </w:pPr>
    </w:p>
    <w:p w:rsidR="00430A1D" w:rsidRDefault="00FB7735" w:rsidP="00DE4996">
      <w:pPr>
        <w:ind w:left="561"/>
        <w:rPr>
          <w:rFonts w:ascii="Arial" w:hAnsi="Arial" w:cs="Arial"/>
          <w:b/>
          <w:sz w:val="22"/>
          <w:szCs w:val="22"/>
          <w:lang w:val="en-GB"/>
        </w:rPr>
      </w:pPr>
      <w:r>
        <w:rPr>
          <w:rFonts w:ascii="Arial" w:hAnsi="Arial" w:cs="Arial"/>
          <w:b/>
          <w:sz w:val="22"/>
          <w:szCs w:val="22"/>
          <w:lang w:val="en-GB"/>
        </w:rPr>
        <w:t>Employability</w:t>
      </w:r>
    </w:p>
    <w:p w:rsidR="00FB7735" w:rsidRDefault="00DD081B" w:rsidP="00DE4996">
      <w:pPr>
        <w:ind w:left="561"/>
        <w:rPr>
          <w:rFonts w:ascii="Arial" w:hAnsi="Arial" w:cs="Arial"/>
          <w:sz w:val="22"/>
          <w:szCs w:val="22"/>
        </w:rPr>
      </w:pPr>
      <w:r>
        <w:rPr>
          <w:rFonts w:ascii="Arial" w:hAnsi="Arial" w:cs="Arial"/>
          <w:sz w:val="22"/>
          <w:szCs w:val="22"/>
          <w:lang w:val="en-GB"/>
        </w:rPr>
        <w:t xml:space="preserve">The </w:t>
      </w:r>
      <w:r w:rsidR="00047B86">
        <w:rPr>
          <w:rFonts w:ascii="Arial" w:hAnsi="Arial" w:cs="Arial"/>
          <w:sz w:val="22"/>
          <w:szCs w:val="22"/>
          <w:lang w:val="en-GB"/>
        </w:rPr>
        <w:t>majority of Schools in the Faculty had improved their rates of employability leading to an overall Faculty score of 80.2% in 2014/15 up from 76.6</w:t>
      </w:r>
      <w:r w:rsidR="003B5212">
        <w:rPr>
          <w:rFonts w:ascii="Arial" w:hAnsi="Arial" w:cs="Arial"/>
          <w:sz w:val="22"/>
          <w:szCs w:val="22"/>
          <w:lang w:val="en-GB"/>
        </w:rPr>
        <w:t>%</w:t>
      </w:r>
      <w:r w:rsidR="00047B86">
        <w:rPr>
          <w:rFonts w:ascii="Arial" w:hAnsi="Arial" w:cs="Arial"/>
          <w:sz w:val="22"/>
          <w:szCs w:val="22"/>
          <w:lang w:val="en-GB"/>
        </w:rPr>
        <w:t xml:space="preserve"> in 2013/</w:t>
      </w:r>
      <w:r w:rsidR="00047B86" w:rsidRPr="00A5655C">
        <w:rPr>
          <w:rFonts w:ascii="Arial" w:hAnsi="Arial" w:cs="Arial"/>
          <w:sz w:val="22"/>
          <w:szCs w:val="22"/>
          <w:lang w:val="en-GB"/>
        </w:rPr>
        <w:t xml:space="preserve">14. </w:t>
      </w:r>
      <w:r w:rsidR="004C298A">
        <w:rPr>
          <w:rFonts w:ascii="Arial" w:hAnsi="Arial" w:cs="Arial"/>
          <w:sz w:val="22"/>
          <w:szCs w:val="22"/>
        </w:rPr>
        <w:t>D</w:t>
      </w:r>
      <w:r w:rsidR="00A5655C">
        <w:rPr>
          <w:rFonts w:ascii="Arial" w:hAnsi="Arial" w:cs="Arial"/>
          <w:sz w:val="22"/>
          <w:szCs w:val="22"/>
        </w:rPr>
        <w:t xml:space="preserve">espite the improvements, </w:t>
      </w:r>
      <w:r w:rsidR="00A5655C" w:rsidRPr="00A5655C">
        <w:rPr>
          <w:rFonts w:ascii="Arial" w:hAnsi="Arial" w:cs="Arial"/>
          <w:sz w:val="22"/>
          <w:szCs w:val="22"/>
        </w:rPr>
        <w:t xml:space="preserve">the Review Group noted that comparisons with the Russell Group were not favourable, and asked how performance could be improved in relation to competitor institutions (e.g. </w:t>
      </w:r>
      <w:r w:rsidR="00A5655C">
        <w:rPr>
          <w:rFonts w:ascii="Arial" w:hAnsi="Arial" w:cs="Arial"/>
          <w:sz w:val="22"/>
          <w:szCs w:val="22"/>
        </w:rPr>
        <w:t xml:space="preserve">at least </w:t>
      </w:r>
      <w:r w:rsidR="00523479">
        <w:rPr>
          <w:rFonts w:ascii="Arial" w:hAnsi="Arial" w:cs="Arial"/>
          <w:sz w:val="22"/>
          <w:szCs w:val="22"/>
        </w:rPr>
        <w:t>84</w:t>
      </w:r>
      <w:r w:rsidR="00A5655C" w:rsidRPr="00A5655C">
        <w:rPr>
          <w:rFonts w:ascii="Arial" w:hAnsi="Arial" w:cs="Arial"/>
          <w:sz w:val="22"/>
          <w:szCs w:val="22"/>
        </w:rPr>
        <w:t>%</w:t>
      </w:r>
      <w:r w:rsidR="008C3F3E">
        <w:rPr>
          <w:rFonts w:ascii="Arial" w:hAnsi="Arial" w:cs="Arial"/>
          <w:sz w:val="22"/>
          <w:szCs w:val="22"/>
        </w:rPr>
        <w:t xml:space="preserve"> at institutional level</w:t>
      </w:r>
      <w:r w:rsidR="00A5655C" w:rsidRPr="00A5655C">
        <w:rPr>
          <w:rFonts w:ascii="Arial" w:hAnsi="Arial" w:cs="Arial"/>
          <w:sz w:val="22"/>
          <w:szCs w:val="22"/>
        </w:rPr>
        <w:t xml:space="preserve"> </w:t>
      </w:r>
      <w:r w:rsidR="00A5655C">
        <w:rPr>
          <w:rFonts w:ascii="Arial" w:hAnsi="Arial" w:cs="Arial"/>
          <w:sz w:val="22"/>
          <w:szCs w:val="22"/>
        </w:rPr>
        <w:t xml:space="preserve">to be in the top ten for employability </w:t>
      </w:r>
      <w:r w:rsidR="00A5655C" w:rsidRPr="00A5655C">
        <w:rPr>
          <w:rFonts w:ascii="Arial" w:hAnsi="Arial" w:cs="Arial"/>
          <w:sz w:val="22"/>
          <w:szCs w:val="22"/>
        </w:rPr>
        <w:t xml:space="preserve">in the Times Good University </w:t>
      </w:r>
      <w:r w:rsidR="00523479">
        <w:rPr>
          <w:rFonts w:ascii="Arial" w:hAnsi="Arial" w:cs="Arial"/>
          <w:sz w:val="22"/>
          <w:szCs w:val="22"/>
        </w:rPr>
        <w:t>League Tables</w:t>
      </w:r>
      <w:r w:rsidR="00A5655C" w:rsidRPr="00A5655C">
        <w:rPr>
          <w:rFonts w:ascii="Arial" w:hAnsi="Arial" w:cs="Arial"/>
          <w:sz w:val="22"/>
          <w:szCs w:val="22"/>
        </w:rPr>
        <w:t>).</w:t>
      </w:r>
      <w:r w:rsidR="00A5655C">
        <w:rPr>
          <w:rFonts w:ascii="Arial" w:hAnsi="Arial" w:cs="Arial"/>
          <w:sz w:val="22"/>
          <w:szCs w:val="22"/>
        </w:rPr>
        <w:t xml:space="preserve"> It was recognised that there were differences in job markets</w:t>
      </w:r>
      <w:r w:rsidR="00B45B3B">
        <w:rPr>
          <w:rFonts w:ascii="Arial" w:hAnsi="Arial" w:cs="Arial"/>
          <w:sz w:val="22"/>
          <w:szCs w:val="22"/>
        </w:rPr>
        <w:t xml:space="preserve"> across the disciplines</w:t>
      </w:r>
      <w:r w:rsidR="00A5655C">
        <w:rPr>
          <w:rFonts w:ascii="Arial" w:hAnsi="Arial" w:cs="Arial"/>
          <w:sz w:val="22"/>
          <w:szCs w:val="22"/>
        </w:rPr>
        <w:t xml:space="preserve">, </w:t>
      </w:r>
      <w:r w:rsidR="00680E84">
        <w:rPr>
          <w:rFonts w:ascii="Arial" w:hAnsi="Arial" w:cs="Arial"/>
          <w:sz w:val="22"/>
          <w:szCs w:val="22"/>
        </w:rPr>
        <w:t>and</w:t>
      </w:r>
      <w:r w:rsidR="00A5655C">
        <w:rPr>
          <w:rFonts w:ascii="Arial" w:hAnsi="Arial" w:cs="Arial"/>
          <w:sz w:val="22"/>
          <w:szCs w:val="22"/>
        </w:rPr>
        <w:t xml:space="preserve"> that Schools were working hard to improve employability</w:t>
      </w:r>
      <w:r w:rsidR="00B45B3B">
        <w:rPr>
          <w:rFonts w:ascii="Arial" w:hAnsi="Arial" w:cs="Arial"/>
          <w:sz w:val="22"/>
          <w:szCs w:val="22"/>
        </w:rPr>
        <w:t xml:space="preserve"> rates</w:t>
      </w:r>
      <w:r w:rsidR="00A5655C">
        <w:rPr>
          <w:rFonts w:ascii="Arial" w:hAnsi="Arial" w:cs="Arial"/>
          <w:sz w:val="22"/>
          <w:szCs w:val="22"/>
        </w:rPr>
        <w:t>. Math</w:t>
      </w:r>
      <w:r w:rsidR="00990A4F">
        <w:rPr>
          <w:rFonts w:ascii="Arial" w:hAnsi="Arial" w:cs="Arial"/>
          <w:sz w:val="22"/>
          <w:szCs w:val="22"/>
        </w:rPr>
        <w:t>ematic</w:t>
      </w:r>
      <w:r w:rsidR="00A5655C">
        <w:rPr>
          <w:rFonts w:ascii="Arial" w:hAnsi="Arial" w:cs="Arial"/>
          <w:sz w:val="22"/>
          <w:szCs w:val="22"/>
        </w:rPr>
        <w:t xml:space="preserve">s had introduced ‘Managing My Future’ and a mock interview scheme, parts of MACE held </w:t>
      </w:r>
      <w:r w:rsidR="008C3F3E">
        <w:rPr>
          <w:rFonts w:ascii="Arial" w:hAnsi="Arial" w:cs="Arial"/>
          <w:sz w:val="22"/>
          <w:szCs w:val="22"/>
        </w:rPr>
        <w:lastRenderedPageBreak/>
        <w:t>dedicated days</w:t>
      </w:r>
      <w:r w:rsidR="00A5655C">
        <w:rPr>
          <w:rFonts w:ascii="Arial" w:hAnsi="Arial" w:cs="Arial"/>
          <w:sz w:val="22"/>
          <w:szCs w:val="22"/>
        </w:rPr>
        <w:t xml:space="preserve"> on career development, and EEE emphasised the importance of the</w:t>
      </w:r>
      <w:r w:rsidR="00B45B3B">
        <w:rPr>
          <w:rFonts w:ascii="Arial" w:hAnsi="Arial" w:cs="Arial"/>
          <w:sz w:val="22"/>
          <w:szCs w:val="22"/>
        </w:rPr>
        <w:t>ir</w:t>
      </w:r>
      <w:r w:rsidR="00A5655C">
        <w:rPr>
          <w:rFonts w:ascii="Arial" w:hAnsi="Arial" w:cs="Arial"/>
          <w:sz w:val="22"/>
          <w:szCs w:val="22"/>
        </w:rPr>
        <w:t xml:space="preserve"> degree programmes ‘with industrial experience’ for students to make contacts with companies at an early stage.</w:t>
      </w:r>
      <w:r w:rsidR="00B00302">
        <w:rPr>
          <w:rFonts w:ascii="Arial" w:hAnsi="Arial" w:cs="Arial"/>
          <w:sz w:val="22"/>
          <w:szCs w:val="22"/>
        </w:rPr>
        <w:t xml:space="preserve"> The Review Group stressed that employability was highly likely to be a key metric in the TEF.</w:t>
      </w:r>
    </w:p>
    <w:p w:rsidR="00EE5598" w:rsidRDefault="00EE5598" w:rsidP="00DE4996">
      <w:pPr>
        <w:ind w:left="561"/>
        <w:rPr>
          <w:rFonts w:ascii="Arial" w:hAnsi="Arial" w:cs="Arial"/>
          <w:sz w:val="22"/>
          <w:szCs w:val="22"/>
        </w:rPr>
      </w:pPr>
    </w:p>
    <w:p w:rsidR="00B00302" w:rsidRPr="00B00302" w:rsidRDefault="00B00302" w:rsidP="00DE4996">
      <w:pPr>
        <w:ind w:left="561"/>
        <w:rPr>
          <w:rFonts w:ascii="Arial" w:hAnsi="Arial" w:cs="Arial"/>
          <w:b/>
          <w:sz w:val="22"/>
          <w:szCs w:val="22"/>
        </w:rPr>
      </w:pPr>
      <w:r w:rsidRPr="00B00302">
        <w:rPr>
          <w:rFonts w:ascii="Arial" w:hAnsi="Arial" w:cs="Arial"/>
          <w:b/>
          <w:sz w:val="22"/>
          <w:szCs w:val="22"/>
        </w:rPr>
        <w:t>Retention</w:t>
      </w:r>
    </w:p>
    <w:p w:rsidR="00B00302" w:rsidRDefault="00865117" w:rsidP="00DE4996">
      <w:pPr>
        <w:ind w:left="561"/>
        <w:rPr>
          <w:rFonts w:ascii="Arial" w:hAnsi="Arial" w:cs="Arial"/>
          <w:sz w:val="22"/>
          <w:szCs w:val="22"/>
          <w:lang w:val="en-GB"/>
        </w:rPr>
      </w:pPr>
      <w:r>
        <w:rPr>
          <w:rFonts w:ascii="Arial" w:hAnsi="Arial" w:cs="Arial"/>
          <w:sz w:val="22"/>
          <w:szCs w:val="22"/>
          <w:lang w:val="en-GB"/>
        </w:rPr>
        <w:t xml:space="preserve">The Review Group queried why the Faculty had </w:t>
      </w:r>
      <w:r w:rsidR="007E20C4">
        <w:rPr>
          <w:rFonts w:ascii="Arial" w:hAnsi="Arial" w:cs="Arial"/>
          <w:sz w:val="22"/>
          <w:szCs w:val="22"/>
          <w:lang w:val="en-GB"/>
        </w:rPr>
        <w:t>a</w:t>
      </w:r>
      <w:r w:rsidR="008914CD">
        <w:rPr>
          <w:rFonts w:ascii="Arial" w:hAnsi="Arial" w:cs="Arial"/>
          <w:sz w:val="22"/>
          <w:szCs w:val="22"/>
          <w:lang w:val="en-GB"/>
        </w:rPr>
        <w:t xml:space="preserve"> poor </w:t>
      </w:r>
      <w:r>
        <w:rPr>
          <w:rFonts w:ascii="Arial" w:hAnsi="Arial" w:cs="Arial"/>
          <w:sz w:val="22"/>
          <w:szCs w:val="22"/>
          <w:lang w:val="en-GB"/>
        </w:rPr>
        <w:t>retention rate (9.7% new entrants withdrew from the University in 2014/15, up from 8.3% in 2013/14), particularly where tariff scores were high.</w:t>
      </w:r>
      <w:r w:rsidR="007E20C4">
        <w:rPr>
          <w:rFonts w:ascii="Arial" w:hAnsi="Arial" w:cs="Arial"/>
          <w:sz w:val="22"/>
          <w:szCs w:val="22"/>
          <w:lang w:val="en-GB"/>
        </w:rPr>
        <w:t xml:space="preserve"> </w:t>
      </w:r>
      <w:r w:rsidR="00CB33CF">
        <w:rPr>
          <w:rFonts w:ascii="Arial" w:hAnsi="Arial" w:cs="Arial"/>
          <w:sz w:val="22"/>
          <w:szCs w:val="22"/>
          <w:lang w:val="en-GB"/>
        </w:rPr>
        <w:t>There was a huge variance</w:t>
      </w:r>
      <w:r w:rsidR="00680E84">
        <w:rPr>
          <w:rFonts w:ascii="Arial" w:hAnsi="Arial" w:cs="Arial"/>
          <w:sz w:val="22"/>
          <w:szCs w:val="22"/>
          <w:lang w:val="en-GB"/>
        </w:rPr>
        <w:t xml:space="preserve"> between the Schools, </w:t>
      </w:r>
      <w:r w:rsidR="00CB33CF">
        <w:rPr>
          <w:rFonts w:ascii="Arial" w:hAnsi="Arial" w:cs="Arial"/>
          <w:sz w:val="22"/>
          <w:szCs w:val="22"/>
          <w:lang w:val="en-GB"/>
        </w:rPr>
        <w:t>from EEE with a 25.5% withdrawal rate to Materials with a</w:t>
      </w:r>
      <w:r w:rsidR="004C298A">
        <w:rPr>
          <w:rFonts w:ascii="Arial" w:hAnsi="Arial" w:cs="Arial"/>
          <w:sz w:val="22"/>
          <w:szCs w:val="22"/>
          <w:lang w:val="en-GB"/>
        </w:rPr>
        <w:t>n impressive</w:t>
      </w:r>
      <w:r w:rsidR="003F1E26">
        <w:rPr>
          <w:rFonts w:ascii="Arial" w:hAnsi="Arial" w:cs="Arial"/>
          <w:sz w:val="22"/>
          <w:szCs w:val="22"/>
          <w:lang w:val="en-GB"/>
        </w:rPr>
        <w:t xml:space="preserve"> </w:t>
      </w:r>
      <w:r w:rsidR="00CB33CF">
        <w:rPr>
          <w:rFonts w:ascii="Arial" w:hAnsi="Arial" w:cs="Arial"/>
          <w:sz w:val="22"/>
          <w:szCs w:val="22"/>
          <w:lang w:val="en-GB"/>
        </w:rPr>
        <w:t xml:space="preserve">1.9% rate. </w:t>
      </w:r>
      <w:r w:rsidR="006D41D0">
        <w:rPr>
          <w:rFonts w:ascii="Arial" w:hAnsi="Arial" w:cs="Arial"/>
          <w:sz w:val="22"/>
          <w:szCs w:val="22"/>
          <w:lang w:val="en-GB"/>
        </w:rPr>
        <w:t xml:space="preserve">Schools were looking into </w:t>
      </w:r>
      <w:r w:rsidR="00680E84">
        <w:rPr>
          <w:rFonts w:ascii="Arial" w:hAnsi="Arial" w:cs="Arial"/>
          <w:sz w:val="22"/>
          <w:szCs w:val="22"/>
          <w:lang w:val="en-GB"/>
        </w:rPr>
        <w:t xml:space="preserve">their poor </w:t>
      </w:r>
      <w:r w:rsidR="006D41D0">
        <w:rPr>
          <w:rFonts w:ascii="Arial" w:hAnsi="Arial" w:cs="Arial"/>
          <w:sz w:val="22"/>
          <w:szCs w:val="22"/>
          <w:lang w:val="en-GB"/>
        </w:rPr>
        <w:t xml:space="preserve">retention </w:t>
      </w:r>
      <w:r w:rsidR="00680E84">
        <w:rPr>
          <w:rFonts w:ascii="Arial" w:hAnsi="Arial" w:cs="Arial"/>
          <w:sz w:val="22"/>
          <w:szCs w:val="22"/>
          <w:lang w:val="en-GB"/>
        </w:rPr>
        <w:t xml:space="preserve">rates </w:t>
      </w:r>
      <w:r w:rsidR="006D41D0">
        <w:rPr>
          <w:rFonts w:ascii="Arial" w:hAnsi="Arial" w:cs="Arial"/>
          <w:sz w:val="22"/>
          <w:szCs w:val="22"/>
          <w:lang w:val="en-GB"/>
        </w:rPr>
        <w:t>but as yet were unable to pinpoint what the key issues were</w:t>
      </w:r>
      <w:r w:rsidR="00CB33CF">
        <w:rPr>
          <w:rFonts w:ascii="Arial" w:hAnsi="Arial" w:cs="Arial"/>
          <w:sz w:val="22"/>
          <w:szCs w:val="22"/>
          <w:lang w:val="en-GB"/>
        </w:rPr>
        <w:t xml:space="preserve">; </w:t>
      </w:r>
      <w:r w:rsidR="00680E84">
        <w:rPr>
          <w:rFonts w:ascii="Arial" w:hAnsi="Arial" w:cs="Arial"/>
          <w:sz w:val="22"/>
          <w:szCs w:val="22"/>
          <w:lang w:val="en-GB"/>
        </w:rPr>
        <w:t>equally</w:t>
      </w:r>
      <w:r w:rsidR="00CB33CF">
        <w:rPr>
          <w:rFonts w:ascii="Arial" w:hAnsi="Arial" w:cs="Arial"/>
          <w:sz w:val="22"/>
          <w:szCs w:val="22"/>
          <w:lang w:val="en-GB"/>
        </w:rPr>
        <w:t xml:space="preserve"> Schools with good retention rates were also unable to explain the reasons why</w:t>
      </w:r>
      <w:r w:rsidR="006D41D0">
        <w:rPr>
          <w:rFonts w:ascii="Arial" w:hAnsi="Arial" w:cs="Arial"/>
          <w:sz w:val="22"/>
          <w:szCs w:val="22"/>
          <w:lang w:val="en-GB"/>
        </w:rPr>
        <w:t xml:space="preserve">. One possible factor </w:t>
      </w:r>
      <w:r w:rsidR="005635C6">
        <w:rPr>
          <w:rFonts w:ascii="Arial" w:hAnsi="Arial" w:cs="Arial"/>
          <w:sz w:val="22"/>
          <w:szCs w:val="22"/>
          <w:lang w:val="en-GB"/>
        </w:rPr>
        <w:t xml:space="preserve">in EEE </w:t>
      </w:r>
      <w:r w:rsidR="006D41D0">
        <w:rPr>
          <w:rFonts w:ascii="Arial" w:hAnsi="Arial" w:cs="Arial"/>
          <w:sz w:val="22"/>
          <w:szCs w:val="22"/>
          <w:lang w:val="en-GB"/>
        </w:rPr>
        <w:t xml:space="preserve">was students </w:t>
      </w:r>
      <w:r w:rsidR="00523479">
        <w:rPr>
          <w:rFonts w:ascii="Arial" w:hAnsi="Arial" w:cs="Arial"/>
          <w:sz w:val="22"/>
          <w:szCs w:val="22"/>
          <w:lang w:val="en-GB"/>
        </w:rPr>
        <w:t>with different qualifications</w:t>
      </w:r>
      <w:r w:rsidR="006D41D0">
        <w:rPr>
          <w:rFonts w:ascii="Arial" w:hAnsi="Arial" w:cs="Arial"/>
          <w:sz w:val="22"/>
          <w:szCs w:val="22"/>
          <w:lang w:val="en-GB"/>
        </w:rPr>
        <w:t xml:space="preserve">, </w:t>
      </w:r>
      <w:r w:rsidR="008C3F3E">
        <w:rPr>
          <w:rFonts w:ascii="Arial" w:hAnsi="Arial" w:cs="Arial"/>
          <w:sz w:val="22"/>
          <w:szCs w:val="22"/>
          <w:lang w:val="en-GB"/>
        </w:rPr>
        <w:t>so compulsory interviews had been introduced</w:t>
      </w:r>
      <w:r w:rsidR="006D41D0">
        <w:rPr>
          <w:rFonts w:ascii="Arial" w:hAnsi="Arial" w:cs="Arial"/>
          <w:sz w:val="22"/>
          <w:szCs w:val="22"/>
          <w:lang w:val="en-GB"/>
        </w:rPr>
        <w:t xml:space="preserve">. There may be other factors including </w:t>
      </w:r>
      <w:r w:rsidR="00CB33CF">
        <w:rPr>
          <w:rFonts w:ascii="Arial" w:hAnsi="Arial" w:cs="Arial"/>
          <w:sz w:val="22"/>
          <w:szCs w:val="22"/>
          <w:lang w:val="en-GB"/>
        </w:rPr>
        <w:t xml:space="preserve">varying </w:t>
      </w:r>
      <w:r w:rsidR="006D41D0">
        <w:rPr>
          <w:rFonts w:ascii="Arial" w:hAnsi="Arial" w:cs="Arial"/>
          <w:sz w:val="22"/>
          <w:szCs w:val="22"/>
          <w:lang w:val="en-GB"/>
        </w:rPr>
        <w:t xml:space="preserve">levels of ability in maths, which could often lead to disengagement within the first few weeks. It was also noted that many student withdrawals were due to academic failure at the first year exam stage, rather than ‘drop-outs’ within the year. The Review Group urged the Faculty to </w:t>
      </w:r>
      <w:r w:rsidR="00CB33CF">
        <w:rPr>
          <w:rFonts w:ascii="Arial" w:hAnsi="Arial" w:cs="Arial"/>
          <w:sz w:val="22"/>
          <w:szCs w:val="22"/>
          <w:lang w:val="en-GB"/>
        </w:rPr>
        <w:t>be proactive in addressing this issue</w:t>
      </w:r>
      <w:r w:rsidR="007558C1">
        <w:rPr>
          <w:rFonts w:ascii="Arial" w:hAnsi="Arial" w:cs="Arial"/>
          <w:sz w:val="22"/>
          <w:szCs w:val="22"/>
          <w:lang w:val="en-GB"/>
        </w:rPr>
        <w:t>.</w:t>
      </w:r>
      <w:r w:rsidR="008C3F3E">
        <w:rPr>
          <w:rFonts w:ascii="Arial" w:hAnsi="Arial" w:cs="Arial"/>
          <w:sz w:val="22"/>
          <w:szCs w:val="22"/>
          <w:lang w:val="en-GB"/>
        </w:rPr>
        <w:t xml:space="preserve"> </w:t>
      </w:r>
      <w:r w:rsidR="007558C1">
        <w:rPr>
          <w:rFonts w:ascii="Arial" w:hAnsi="Arial" w:cs="Arial"/>
          <w:sz w:val="22"/>
          <w:szCs w:val="22"/>
          <w:lang w:val="en-GB"/>
        </w:rPr>
        <w:t xml:space="preserve">It was also noted that </w:t>
      </w:r>
      <w:r w:rsidR="008C3F3E">
        <w:rPr>
          <w:rFonts w:ascii="Arial" w:hAnsi="Arial" w:cs="Arial"/>
          <w:sz w:val="22"/>
          <w:szCs w:val="22"/>
          <w:lang w:val="en-GB"/>
        </w:rPr>
        <w:t>BTEC students</w:t>
      </w:r>
      <w:r w:rsidR="007558C1">
        <w:rPr>
          <w:rFonts w:ascii="Arial" w:hAnsi="Arial" w:cs="Arial"/>
          <w:sz w:val="22"/>
          <w:szCs w:val="22"/>
          <w:lang w:val="en-GB"/>
        </w:rPr>
        <w:t>, a key recruitment area,</w:t>
      </w:r>
      <w:r w:rsidR="008C3F3E">
        <w:rPr>
          <w:rFonts w:ascii="Arial" w:hAnsi="Arial" w:cs="Arial"/>
          <w:sz w:val="22"/>
          <w:szCs w:val="22"/>
          <w:lang w:val="en-GB"/>
        </w:rPr>
        <w:t xml:space="preserve"> were capable</w:t>
      </w:r>
      <w:r w:rsidR="00523479">
        <w:rPr>
          <w:rFonts w:ascii="Arial" w:hAnsi="Arial" w:cs="Arial"/>
          <w:sz w:val="22"/>
          <w:szCs w:val="22"/>
          <w:lang w:val="en-GB"/>
        </w:rPr>
        <w:t xml:space="preserve"> and that </w:t>
      </w:r>
      <w:r w:rsidR="00632771">
        <w:rPr>
          <w:rFonts w:ascii="Arial" w:hAnsi="Arial" w:cs="Arial"/>
          <w:sz w:val="22"/>
          <w:szCs w:val="22"/>
          <w:lang w:val="en-GB"/>
        </w:rPr>
        <w:t>the curriculum was changing</w:t>
      </w:r>
      <w:r w:rsidR="00523479">
        <w:rPr>
          <w:rFonts w:ascii="Arial" w:hAnsi="Arial" w:cs="Arial"/>
          <w:sz w:val="22"/>
          <w:szCs w:val="22"/>
          <w:lang w:val="en-GB"/>
        </w:rPr>
        <w:t xml:space="preserve">. However </w:t>
      </w:r>
      <w:r w:rsidR="008C3F3E">
        <w:rPr>
          <w:rFonts w:ascii="Arial" w:hAnsi="Arial" w:cs="Arial"/>
          <w:sz w:val="22"/>
          <w:szCs w:val="22"/>
          <w:lang w:val="en-GB"/>
        </w:rPr>
        <w:t>their maths could be weak</w:t>
      </w:r>
      <w:r w:rsidR="007558C1">
        <w:rPr>
          <w:rFonts w:ascii="Arial" w:hAnsi="Arial" w:cs="Arial"/>
          <w:sz w:val="22"/>
          <w:szCs w:val="22"/>
          <w:lang w:val="en-GB"/>
        </w:rPr>
        <w:t xml:space="preserve"> and support had been put in place</w:t>
      </w:r>
      <w:r w:rsidR="008C3F3E">
        <w:rPr>
          <w:rFonts w:ascii="Arial" w:hAnsi="Arial" w:cs="Arial"/>
          <w:sz w:val="22"/>
          <w:szCs w:val="22"/>
          <w:lang w:val="en-GB"/>
        </w:rPr>
        <w:t>. The Faculty should also</w:t>
      </w:r>
      <w:r w:rsidR="006D41D0">
        <w:rPr>
          <w:rFonts w:ascii="Arial" w:hAnsi="Arial" w:cs="Arial"/>
          <w:sz w:val="22"/>
          <w:szCs w:val="22"/>
          <w:lang w:val="en-GB"/>
        </w:rPr>
        <w:t xml:space="preserve"> continue to analyse the data to understand more about retention overall.</w:t>
      </w:r>
      <w:r w:rsidR="00CB33CF">
        <w:rPr>
          <w:rFonts w:ascii="Arial" w:hAnsi="Arial" w:cs="Arial"/>
          <w:sz w:val="22"/>
          <w:szCs w:val="22"/>
          <w:lang w:val="en-GB"/>
        </w:rPr>
        <w:t xml:space="preserve"> </w:t>
      </w:r>
      <w:r w:rsidR="00690F3E">
        <w:rPr>
          <w:rFonts w:ascii="Arial" w:hAnsi="Arial" w:cs="Arial"/>
          <w:sz w:val="22"/>
          <w:szCs w:val="22"/>
          <w:lang w:val="en-GB"/>
        </w:rPr>
        <w:t>Significant i</w:t>
      </w:r>
      <w:r w:rsidR="00CB33CF">
        <w:rPr>
          <w:rFonts w:ascii="Arial" w:hAnsi="Arial" w:cs="Arial"/>
          <w:sz w:val="22"/>
          <w:szCs w:val="22"/>
          <w:lang w:val="en-GB"/>
        </w:rPr>
        <w:t xml:space="preserve">mprovements would have to be made to help </w:t>
      </w:r>
      <w:r w:rsidR="00690F3E">
        <w:rPr>
          <w:rFonts w:ascii="Arial" w:hAnsi="Arial" w:cs="Arial"/>
          <w:sz w:val="22"/>
          <w:szCs w:val="22"/>
          <w:lang w:val="en-GB"/>
        </w:rPr>
        <w:t>create a step change in</w:t>
      </w:r>
      <w:r w:rsidR="00CB33CF">
        <w:rPr>
          <w:rFonts w:ascii="Arial" w:hAnsi="Arial" w:cs="Arial"/>
          <w:sz w:val="22"/>
          <w:szCs w:val="22"/>
          <w:lang w:val="en-GB"/>
        </w:rPr>
        <w:t xml:space="preserve"> the </w:t>
      </w:r>
      <w:r w:rsidR="008C3F3E">
        <w:rPr>
          <w:rFonts w:ascii="Arial" w:hAnsi="Arial" w:cs="Arial"/>
          <w:sz w:val="22"/>
          <w:szCs w:val="22"/>
          <w:lang w:val="en-GB"/>
        </w:rPr>
        <w:t xml:space="preserve">University’s </w:t>
      </w:r>
      <w:r w:rsidR="00CB33CF">
        <w:rPr>
          <w:rFonts w:ascii="Arial" w:hAnsi="Arial" w:cs="Arial"/>
          <w:sz w:val="22"/>
          <w:szCs w:val="22"/>
          <w:lang w:val="en-GB"/>
        </w:rPr>
        <w:t>position in league tables and compare more favourably with competitor institutions.</w:t>
      </w:r>
    </w:p>
    <w:p w:rsidR="008F07E4" w:rsidRDefault="008F07E4" w:rsidP="00DE4996">
      <w:pPr>
        <w:ind w:left="561"/>
        <w:rPr>
          <w:rFonts w:ascii="Arial" w:hAnsi="Arial" w:cs="Arial"/>
          <w:sz w:val="22"/>
          <w:szCs w:val="22"/>
          <w:lang w:val="en-GB"/>
        </w:rPr>
      </w:pPr>
    </w:p>
    <w:p w:rsidR="00690F3E" w:rsidRDefault="00690F3E" w:rsidP="00DE4996">
      <w:pPr>
        <w:ind w:left="561"/>
        <w:rPr>
          <w:rFonts w:ascii="Arial" w:hAnsi="Arial" w:cs="Arial"/>
          <w:b/>
          <w:sz w:val="22"/>
          <w:szCs w:val="22"/>
          <w:lang w:val="en-GB"/>
        </w:rPr>
      </w:pPr>
      <w:r>
        <w:rPr>
          <w:rFonts w:ascii="Arial" w:hAnsi="Arial" w:cs="Arial"/>
          <w:b/>
          <w:sz w:val="22"/>
          <w:szCs w:val="22"/>
          <w:lang w:val="en-GB"/>
        </w:rPr>
        <w:t>Degree attainment</w:t>
      </w:r>
    </w:p>
    <w:p w:rsidR="004A7214" w:rsidRDefault="00690F3E" w:rsidP="00DE4996">
      <w:pPr>
        <w:ind w:left="561"/>
        <w:rPr>
          <w:rFonts w:ascii="Arial" w:hAnsi="Arial" w:cs="Arial"/>
          <w:sz w:val="22"/>
          <w:szCs w:val="22"/>
          <w:lang w:val="en-GB"/>
        </w:rPr>
      </w:pPr>
      <w:r>
        <w:rPr>
          <w:rFonts w:ascii="Arial" w:hAnsi="Arial" w:cs="Arial"/>
          <w:sz w:val="22"/>
          <w:szCs w:val="22"/>
          <w:lang w:val="en-GB"/>
        </w:rPr>
        <w:t xml:space="preserve">The Review Group noted that 72% of students </w:t>
      </w:r>
      <w:r w:rsidR="000403B2">
        <w:rPr>
          <w:rFonts w:ascii="Arial" w:hAnsi="Arial" w:cs="Arial"/>
          <w:sz w:val="22"/>
          <w:szCs w:val="22"/>
          <w:lang w:val="en-GB"/>
        </w:rPr>
        <w:t xml:space="preserve">in </w:t>
      </w:r>
      <w:r>
        <w:rPr>
          <w:rFonts w:ascii="Arial" w:hAnsi="Arial" w:cs="Arial"/>
          <w:sz w:val="22"/>
          <w:szCs w:val="22"/>
          <w:lang w:val="en-GB"/>
        </w:rPr>
        <w:t xml:space="preserve">EPS had been awarded a ‘good degree’ (2:1 and </w:t>
      </w:r>
      <w:r w:rsidR="00BE6A09">
        <w:rPr>
          <w:rFonts w:ascii="Arial" w:hAnsi="Arial" w:cs="Arial"/>
          <w:sz w:val="22"/>
          <w:szCs w:val="22"/>
          <w:lang w:val="en-GB"/>
        </w:rPr>
        <w:t>f</w:t>
      </w:r>
      <w:r>
        <w:rPr>
          <w:rFonts w:ascii="Arial" w:hAnsi="Arial" w:cs="Arial"/>
          <w:sz w:val="22"/>
          <w:szCs w:val="22"/>
          <w:lang w:val="en-GB"/>
        </w:rPr>
        <w:t xml:space="preserve">irst class) </w:t>
      </w:r>
      <w:r w:rsidR="000403B2">
        <w:rPr>
          <w:rFonts w:ascii="Arial" w:hAnsi="Arial" w:cs="Arial"/>
          <w:sz w:val="22"/>
          <w:szCs w:val="22"/>
          <w:lang w:val="en-GB"/>
        </w:rPr>
        <w:t xml:space="preserve">in 2013/14 </w:t>
      </w:r>
      <w:r>
        <w:rPr>
          <w:rFonts w:ascii="Arial" w:hAnsi="Arial" w:cs="Arial"/>
          <w:sz w:val="22"/>
          <w:szCs w:val="22"/>
          <w:lang w:val="en-GB"/>
        </w:rPr>
        <w:t>compared with 69% in 201</w:t>
      </w:r>
      <w:r w:rsidR="003D7B52">
        <w:rPr>
          <w:rFonts w:ascii="Arial" w:hAnsi="Arial" w:cs="Arial"/>
          <w:sz w:val="22"/>
          <w:szCs w:val="22"/>
          <w:lang w:val="en-GB"/>
        </w:rPr>
        <w:t>2</w:t>
      </w:r>
      <w:r>
        <w:rPr>
          <w:rFonts w:ascii="Arial" w:hAnsi="Arial" w:cs="Arial"/>
          <w:sz w:val="22"/>
          <w:szCs w:val="22"/>
          <w:lang w:val="en-GB"/>
        </w:rPr>
        <w:t>/1</w:t>
      </w:r>
      <w:r w:rsidR="003D7B52">
        <w:rPr>
          <w:rFonts w:ascii="Arial" w:hAnsi="Arial" w:cs="Arial"/>
          <w:sz w:val="22"/>
          <w:szCs w:val="22"/>
          <w:lang w:val="en-GB"/>
        </w:rPr>
        <w:t>3</w:t>
      </w:r>
      <w:r>
        <w:rPr>
          <w:rFonts w:ascii="Arial" w:hAnsi="Arial" w:cs="Arial"/>
          <w:sz w:val="22"/>
          <w:szCs w:val="22"/>
          <w:lang w:val="en-GB"/>
        </w:rPr>
        <w:t xml:space="preserve">. There was concern that, in comparison with the Russell Group, </w:t>
      </w:r>
      <w:r w:rsidR="00BE6A09">
        <w:rPr>
          <w:rFonts w:ascii="Arial" w:hAnsi="Arial" w:cs="Arial"/>
          <w:sz w:val="22"/>
          <w:szCs w:val="22"/>
          <w:lang w:val="en-GB"/>
        </w:rPr>
        <w:t>the</w:t>
      </w:r>
      <w:r>
        <w:rPr>
          <w:rFonts w:ascii="Arial" w:hAnsi="Arial" w:cs="Arial"/>
          <w:sz w:val="22"/>
          <w:szCs w:val="22"/>
          <w:lang w:val="en-GB"/>
        </w:rPr>
        <w:t xml:space="preserve"> ‘learning gain’ from </w:t>
      </w:r>
      <w:r w:rsidR="004A7214">
        <w:rPr>
          <w:rFonts w:ascii="Arial" w:hAnsi="Arial" w:cs="Arial"/>
          <w:sz w:val="22"/>
          <w:szCs w:val="22"/>
          <w:lang w:val="en-GB"/>
        </w:rPr>
        <w:t xml:space="preserve">students entering with </w:t>
      </w:r>
      <w:r>
        <w:rPr>
          <w:rFonts w:ascii="Arial" w:hAnsi="Arial" w:cs="Arial"/>
          <w:sz w:val="22"/>
          <w:szCs w:val="22"/>
          <w:lang w:val="en-GB"/>
        </w:rPr>
        <w:t xml:space="preserve">high tariff scores </w:t>
      </w:r>
      <w:r w:rsidR="004A7214">
        <w:rPr>
          <w:rFonts w:ascii="Arial" w:hAnsi="Arial" w:cs="Arial"/>
          <w:sz w:val="22"/>
          <w:szCs w:val="22"/>
          <w:lang w:val="en-GB"/>
        </w:rPr>
        <w:t>but leaving with lower</w:t>
      </w:r>
      <w:r>
        <w:rPr>
          <w:rFonts w:ascii="Arial" w:hAnsi="Arial" w:cs="Arial"/>
          <w:sz w:val="22"/>
          <w:szCs w:val="22"/>
          <w:lang w:val="en-GB"/>
        </w:rPr>
        <w:t xml:space="preserve"> degree attainment was not sufficiently competitive (the average </w:t>
      </w:r>
      <w:r w:rsidR="008C3F3E">
        <w:rPr>
          <w:rFonts w:ascii="Arial" w:hAnsi="Arial" w:cs="Arial"/>
          <w:sz w:val="22"/>
          <w:szCs w:val="22"/>
          <w:lang w:val="en-GB"/>
        </w:rPr>
        <w:t xml:space="preserve">attainment </w:t>
      </w:r>
      <w:r w:rsidR="00BE6A09">
        <w:rPr>
          <w:rFonts w:ascii="Arial" w:hAnsi="Arial" w:cs="Arial"/>
          <w:sz w:val="22"/>
          <w:szCs w:val="22"/>
          <w:lang w:val="en-GB"/>
        </w:rPr>
        <w:t>required</w:t>
      </w:r>
      <w:r>
        <w:rPr>
          <w:rFonts w:ascii="Arial" w:hAnsi="Arial" w:cs="Arial"/>
          <w:sz w:val="22"/>
          <w:szCs w:val="22"/>
          <w:lang w:val="en-GB"/>
        </w:rPr>
        <w:t xml:space="preserve"> to be </w:t>
      </w:r>
      <w:r w:rsidR="00BE6A09">
        <w:rPr>
          <w:rFonts w:ascii="Arial" w:hAnsi="Arial" w:cs="Arial"/>
          <w:sz w:val="22"/>
          <w:szCs w:val="22"/>
          <w:lang w:val="en-GB"/>
        </w:rPr>
        <w:t>in</w:t>
      </w:r>
      <w:r>
        <w:rPr>
          <w:rFonts w:ascii="Arial" w:hAnsi="Arial" w:cs="Arial"/>
          <w:sz w:val="22"/>
          <w:szCs w:val="22"/>
          <w:lang w:val="en-GB"/>
        </w:rPr>
        <w:t xml:space="preserve"> the top ten of </w:t>
      </w:r>
      <w:r w:rsidR="004A7214">
        <w:rPr>
          <w:rFonts w:ascii="Arial" w:hAnsi="Arial" w:cs="Arial"/>
          <w:sz w:val="22"/>
          <w:szCs w:val="22"/>
          <w:lang w:val="en-GB"/>
        </w:rPr>
        <w:t xml:space="preserve">the Times Good University </w:t>
      </w:r>
      <w:r w:rsidR="00523479">
        <w:rPr>
          <w:rFonts w:ascii="Arial" w:hAnsi="Arial" w:cs="Arial"/>
          <w:sz w:val="22"/>
          <w:szCs w:val="22"/>
          <w:lang w:val="en-GB"/>
        </w:rPr>
        <w:t xml:space="preserve">League Tables </w:t>
      </w:r>
      <w:r w:rsidR="00BE6A09">
        <w:rPr>
          <w:rFonts w:ascii="Arial" w:hAnsi="Arial" w:cs="Arial"/>
          <w:sz w:val="22"/>
          <w:szCs w:val="22"/>
          <w:lang w:val="en-GB"/>
        </w:rPr>
        <w:t>was 84%</w:t>
      </w:r>
      <w:r>
        <w:rPr>
          <w:rFonts w:ascii="Arial" w:hAnsi="Arial" w:cs="Arial"/>
          <w:sz w:val="22"/>
          <w:szCs w:val="22"/>
          <w:lang w:val="en-GB"/>
        </w:rPr>
        <w:t xml:space="preserve">). The Faculty did not want to compromise </w:t>
      </w:r>
      <w:r w:rsidR="00BE6A09">
        <w:rPr>
          <w:rFonts w:ascii="Arial" w:hAnsi="Arial" w:cs="Arial"/>
          <w:sz w:val="22"/>
          <w:szCs w:val="22"/>
          <w:lang w:val="en-GB"/>
        </w:rPr>
        <w:t xml:space="preserve">its </w:t>
      </w:r>
      <w:r>
        <w:rPr>
          <w:rFonts w:ascii="Arial" w:hAnsi="Arial" w:cs="Arial"/>
          <w:sz w:val="22"/>
          <w:szCs w:val="22"/>
          <w:lang w:val="en-GB"/>
        </w:rPr>
        <w:t>degree standards, but the Review Group argued that it was p</w:t>
      </w:r>
      <w:r w:rsidR="00E37198">
        <w:rPr>
          <w:rFonts w:ascii="Arial" w:hAnsi="Arial" w:cs="Arial"/>
          <w:sz w:val="22"/>
          <w:szCs w:val="22"/>
          <w:lang w:val="en-GB"/>
        </w:rPr>
        <w:t>robably</w:t>
      </w:r>
      <w:r>
        <w:rPr>
          <w:rFonts w:ascii="Arial" w:hAnsi="Arial" w:cs="Arial"/>
          <w:sz w:val="22"/>
          <w:szCs w:val="22"/>
          <w:lang w:val="en-GB"/>
        </w:rPr>
        <w:t xml:space="preserve"> disadvantaging its students</w:t>
      </w:r>
      <w:r w:rsidR="008C3F3E">
        <w:rPr>
          <w:rFonts w:ascii="Arial" w:hAnsi="Arial" w:cs="Arial"/>
          <w:sz w:val="22"/>
          <w:szCs w:val="22"/>
          <w:lang w:val="en-GB"/>
        </w:rPr>
        <w:t xml:space="preserve"> by marking more harshly than its competitors</w:t>
      </w:r>
      <w:r>
        <w:rPr>
          <w:rFonts w:ascii="Arial" w:hAnsi="Arial" w:cs="Arial"/>
          <w:sz w:val="22"/>
          <w:szCs w:val="22"/>
          <w:lang w:val="en-GB"/>
        </w:rPr>
        <w:t xml:space="preserve">. Employers were </w:t>
      </w:r>
      <w:r w:rsidR="008C3F3E">
        <w:rPr>
          <w:rFonts w:ascii="Arial" w:hAnsi="Arial" w:cs="Arial"/>
          <w:sz w:val="22"/>
          <w:szCs w:val="22"/>
          <w:lang w:val="en-GB"/>
        </w:rPr>
        <w:t xml:space="preserve">primarily </w:t>
      </w:r>
      <w:r>
        <w:rPr>
          <w:rFonts w:ascii="Arial" w:hAnsi="Arial" w:cs="Arial"/>
          <w:sz w:val="22"/>
          <w:szCs w:val="22"/>
          <w:lang w:val="en-GB"/>
        </w:rPr>
        <w:t xml:space="preserve">interested in 2:1s and </w:t>
      </w:r>
      <w:r w:rsidR="00BE6A09">
        <w:rPr>
          <w:rFonts w:ascii="Arial" w:hAnsi="Arial" w:cs="Arial"/>
          <w:sz w:val="22"/>
          <w:szCs w:val="22"/>
          <w:lang w:val="en-GB"/>
        </w:rPr>
        <w:t>f</w:t>
      </w:r>
      <w:r>
        <w:rPr>
          <w:rFonts w:ascii="Arial" w:hAnsi="Arial" w:cs="Arial"/>
          <w:sz w:val="22"/>
          <w:szCs w:val="22"/>
          <w:lang w:val="en-GB"/>
        </w:rPr>
        <w:t>irsts, and degree attainment was a key metric affecting student satisfaction, employability and league tables.</w:t>
      </w:r>
      <w:r w:rsidR="004A7214">
        <w:rPr>
          <w:rFonts w:ascii="Arial" w:hAnsi="Arial" w:cs="Arial"/>
          <w:sz w:val="22"/>
          <w:szCs w:val="22"/>
          <w:lang w:val="en-GB"/>
        </w:rPr>
        <w:t xml:space="preserve"> The Review Group felt strongly that steps could be taken in-year to start to address this.</w:t>
      </w:r>
    </w:p>
    <w:p w:rsidR="00690F3E" w:rsidRDefault="004A7214" w:rsidP="00DE4996">
      <w:pPr>
        <w:ind w:left="561"/>
        <w:rPr>
          <w:rFonts w:ascii="Arial" w:hAnsi="Arial" w:cs="Arial"/>
          <w:sz w:val="22"/>
          <w:szCs w:val="22"/>
          <w:lang w:val="en-GB"/>
        </w:rPr>
      </w:pPr>
      <w:r>
        <w:rPr>
          <w:rFonts w:ascii="Arial" w:hAnsi="Arial" w:cs="Arial"/>
          <w:b/>
          <w:sz w:val="22"/>
          <w:szCs w:val="22"/>
          <w:lang w:val="en-GB"/>
        </w:rPr>
        <w:t xml:space="preserve">ACTION: to </w:t>
      </w:r>
      <w:r w:rsidR="00523479">
        <w:rPr>
          <w:rFonts w:ascii="Arial" w:hAnsi="Arial" w:cs="Arial"/>
          <w:b/>
          <w:sz w:val="22"/>
          <w:szCs w:val="22"/>
          <w:lang w:val="en-GB"/>
        </w:rPr>
        <w:t>implement action to address marking disparities with comparator institutions.</w:t>
      </w:r>
      <w:r>
        <w:rPr>
          <w:rFonts w:ascii="Arial" w:hAnsi="Arial" w:cs="Arial"/>
          <w:sz w:val="22"/>
          <w:szCs w:val="22"/>
          <w:lang w:val="en-GB"/>
        </w:rPr>
        <w:t xml:space="preserve"> </w:t>
      </w:r>
    </w:p>
    <w:p w:rsidR="003D7B52" w:rsidRDefault="003D7B52" w:rsidP="00DE4996">
      <w:pPr>
        <w:ind w:left="561"/>
        <w:rPr>
          <w:rFonts w:ascii="Arial" w:hAnsi="Arial" w:cs="Arial"/>
          <w:sz w:val="22"/>
          <w:szCs w:val="22"/>
          <w:lang w:val="en-GB"/>
        </w:rPr>
      </w:pPr>
    </w:p>
    <w:p w:rsidR="003D7B52" w:rsidRPr="00BE6A09" w:rsidRDefault="00BE6A09" w:rsidP="00DE4996">
      <w:pPr>
        <w:ind w:left="561"/>
        <w:rPr>
          <w:rFonts w:ascii="Arial" w:hAnsi="Arial" w:cs="Arial"/>
          <w:sz w:val="22"/>
          <w:szCs w:val="22"/>
          <w:lang w:val="en-GB"/>
        </w:rPr>
      </w:pPr>
      <w:r w:rsidRPr="00BE6A09">
        <w:rPr>
          <w:rFonts w:ascii="Arial" w:hAnsi="Arial" w:cs="Arial"/>
          <w:sz w:val="22"/>
          <w:szCs w:val="22"/>
          <w:lang w:val="en-GB"/>
        </w:rPr>
        <w:t xml:space="preserve">It was noted that </w:t>
      </w:r>
      <w:r>
        <w:rPr>
          <w:rFonts w:ascii="Arial" w:hAnsi="Arial" w:cs="Arial"/>
          <w:sz w:val="22"/>
          <w:szCs w:val="22"/>
          <w:lang w:val="en-GB"/>
        </w:rPr>
        <w:t xml:space="preserve">degree attainment for BME students </w:t>
      </w:r>
      <w:r w:rsidR="00523479">
        <w:rPr>
          <w:rFonts w:ascii="Arial" w:hAnsi="Arial" w:cs="Arial"/>
          <w:sz w:val="22"/>
          <w:szCs w:val="22"/>
          <w:lang w:val="en-GB"/>
        </w:rPr>
        <w:t xml:space="preserve">in the Faculty </w:t>
      </w:r>
      <w:r>
        <w:rPr>
          <w:rFonts w:ascii="Arial" w:hAnsi="Arial" w:cs="Arial"/>
          <w:sz w:val="22"/>
          <w:szCs w:val="22"/>
          <w:lang w:val="en-GB"/>
        </w:rPr>
        <w:t>had risen from 64% in 2012/13 to 70% in 2013/14</w:t>
      </w:r>
      <w:r w:rsidR="000230DB">
        <w:rPr>
          <w:rFonts w:ascii="Arial" w:hAnsi="Arial" w:cs="Arial"/>
          <w:sz w:val="22"/>
          <w:szCs w:val="22"/>
          <w:lang w:val="en-GB"/>
        </w:rPr>
        <w:t>, and that the Schools should share best practice to try to increase this further</w:t>
      </w:r>
      <w:r w:rsidR="008C3F3E">
        <w:rPr>
          <w:rFonts w:ascii="Arial" w:hAnsi="Arial" w:cs="Arial"/>
          <w:sz w:val="22"/>
          <w:szCs w:val="22"/>
          <w:lang w:val="en-GB"/>
        </w:rPr>
        <w:t>, as t</w:t>
      </w:r>
      <w:r w:rsidR="000230DB">
        <w:rPr>
          <w:rFonts w:ascii="Arial" w:hAnsi="Arial" w:cs="Arial"/>
          <w:sz w:val="22"/>
          <w:szCs w:val="22"/>
          <w:lang w:val="en-GB"/>
        </w:rPr>
        <w:t xml:space="preserve">here were variances </w:t>
      </w:r>
      <w:r w:rsidR="00B41E9B">
        <w:rPr>
          <w:rFonts w:ascii="Arial" w:hAnsi="Arial" w:cs="Arial"/>
          <w:sz w:val="22"/>
          <w:szCs w:val="22"/>
          <w:lang w:val="en-GB"/>
        </w:rPr>
        <w:t>across the</w:t>
      </w:r>
      <w:r w:rsidR="000230DB">
        <w:rPr>
          <w:rFonts w:ascii="Arial" w:hAnsi="Arial" w:cs="Arial"/>
          <w:sz w:val="22"/>
          <w:szCs w:val="22"/>
          <w:lang w:val="en-GB"/>
        </w:rPr>
        <w:t xml:space="preserve"> Schools</w:t>
      </w:r>
      <w:r w:rsidR="008C3F3E">
        <w:rPr>
          <w:rFonts w:ascii="Arial" w:hAnsi="Arial" w:cs="Arial"/>
          <w:sz w:val="22"/>
          <w:szCs w:val="22"/>
          <w:lang w:val="en-GB"/>
        </w:rPr>
        <w:t>. The majority of</w:t>
      </w:r>
      <w:r w:rsidR="000230DB">
        <w:rPr>
          <w:rFonts w:ascii="Arial" w:hAnsi="Arial" w:cs="Arial"/>
          <w:sz w:val="22"/>
          <w:szCs w:val="22"/>
          <w:lang w:val="en-GB"/>
        </w:rPr>
        <w:t xml:space="preserve"> BME students in petroleum engineering in EAES entered through the Foundation Year and the access criteria for this </w:t>
      </w:r>
      <w:r w:rsidR="007558C1">
        <w:rPr>
          <w:rFonts w:ascii="Arial" w:hAnsi="Arial" w:cs="Arial"/>
          <w:sz w:val="22"/>
          <w:szCs w:val="22"/>
          <w:lang w:val="en-GB"/>
        </w:rPr>
        <w:t>had been</w:t>
      </w:r>
      <w:r w:rsidR="000230DB">
        <w:rPr>
          <w:rFonts w:ascii="Arial" w:hAnsi="Arial" w:cs="Arial"/>
          <w:sz w:val="22"/>
          <w:szCs w:val="22"/>
          <w:lang w:val="en-GB"/>
        </w:rPr>
        <w:t xml:space="preserve"> lower than fellow students entering through CEAS. Increasing the tariff to match CEAS </w:t>
      </w:r>
      <w:r w:rsidR="007558C1">
        <w:rPr>
          <w:rFonts w:ascii="Arial" w:hAnsi="Arial" w:cs="Arial"/>
          <w:sz w:val="22"/>
          <w:szCs w:val="22"/>
          <w:lang w:val="en-GB"/>
        </w:rPr>
        <w:t>should</w:t>
      </w:r>
      <w:r w:rsidR="000230DB">
        <w:rPr>
          <w:rFonts w:ascii="Arial" w:hAnsi="Arial" w:cs="Arial"/>
          <w:sz w:val="22"/>
          <w:szCs w:val="22"/>
          <w:lang w:val="en-GB"/>
        </w:rPr>
        <w:t xml:space="preserve"> have a positive effect on degree attainment; however actual numbers were small. BME </w:t>
      </w:r>
      <w:r w:rsidR="003D60A1">
        <w:rPr>
          <w:rFonts w:ascii="Arial" w:hAnsi="Arial" w:cs="Arial"/>
          <w:sz w:val="22"/>
          <w:szCs w:val="22"/>
          <w:lang w:val="en-GB"/>
        </w:rPr>
        <w:t>students</w:t>
      </w:r>
      <w:r w:rsidR="000230DB">
        <w:rPr>
          <w:rFonts w:ascii="Arial" w:hAnsi="Arial" w:cs="Arial"/>
          <w:sz w:val="22"/>
          <w:szCs w:val="22"/>
          <w:lang w:val="en-GB"/>
        </w:rPr>
        <w:t xml:space="preserve"> in MACE, on the other hand, performed better than their white counterparts, and it was noted that MACE also had a very good </w:t>
      </w:r>
      <w:r w:rsidR="007558C1">
        <w:rPr>
          <w:rFonts w:ascii="Arial" w:hAnsi="Arial" w:cs="Arial"/>
          <w:sz w:val="22"/>
          <w:szCs w:val="22"/>
          <w:lang w:val="en-GB"/>
        </w:rPr>
        <w:t xml:space="preserve">mix </w:t>
      </w:r>
      <w:r w:rsidR="000230DB">
        <w:rPr>
          <w:rFonts w:ascii="Arial" w:hAnsi="Arial" w:cs="Arial"/>
          <w:sz w:val="22"/>
          <w:szCs w:val="22"/>
          <w:lang w:val="en-GB"/>
        </w:rPr>
        <w:t>of BME staff</w:t>
      </w:r>
      <w:r w:rsidR="00B41E9B">
        <w:rPr>
          <w:rFonts w:ascii="Arial" w:hAnsi="Arial" w:cs="Arial"/>
          <w:sz w:val="22"/>
          <w:szCs w:val="22"/>
          <w:lang w:val="en-GB"/>
        </w:rPr>
        <w:t xml:space="preserve"> which may well be a positive factor in students’ degree success</w:t>
      </w:r>
      <w:r w:rsidR="000230DB">
        <w:rPr>
          <w:rFonts w:ascii="Arial" w:hAnsi="Arial" w:cs="Arial"/>
          <w:sz w:val="22"/>
          <w:szCs w:val="22"/>
          <w:lang w:val="en-GB"/>
        </w:rPr>
        <w:t xml:space="preserve">. </w:t>
      </w:r>
    </w:p>
    <w:p w:rsidR="00C23895" w:rsidRDefault="00C23895" w:rsidP="00DE4996">
      <w:pPr>
        <w:ind w:left="561"/>
        <w:rPr>
          <w:rFonts w:ascii="Arial" w:hAnsi="Arial" w:cs="Arial"/>
          <w:b/>
          <w:bCs/>
          <w:sz w:val="22"/>
          <w:szCs w:val="22"/>
          <w:lang w:val="en-GB"/>
        </w:rPr>
      </w:pPr>
    </w:p>
    <w:p w:rsidR="00DE4996" w:rsidRPr="00AD4E29" w:rsidRDefault="00523479" w:rsidP="00DE4996">
      <w:pPr>
        <w:ind w:left="561"/>
        <w:rPr>
          <w:rFonts w:ascii="Arial" w:hAnsi="Arial" w:cs="Arial"/>
          <w:b/>
          <w:bCs/>
          <w:sz w:val="22"/>
          <w:szCs w:val="22"/>
          <w:lang w:val="en-GB"/>
        </w:rPr>
      </w:pPr>
      <w:r w:rsidRPr="00AD4E29">
        <w:rPr>
          <w:rFonts w:ascii="Arial" w:hAnsi="Arial" w:cs="Arial"/>
          <w:b/>
          <w:bCs/>
          <w:sz w:val="22"/>
          <w:szCs w:val="22"/>
          <w:lang w:val="en-GB"/>
        </w:rPr>
        <w:t xml:space="preserve">ACTION: </w:t>
      </w:r>
      <w:r w:rsidRPr="00AD4E29">
        <w:rPr>
          <w:rFonts w:ascii="Arial" w:hAnsi="Arial" w:cs="Arial"/>
          <w:b/>
          <w:sz w:val="22"/>
          <w:szCs w:val="22"/>
          <w:lang w:val="en-GB"/>
        </w:rPr>
        <w:t xml:space="preserve">to analyse data and benchmark performance </w:t>
      </w:r>
      <w:r w:rsidR="002B79D4">
        <w:rPr>
          <w:rFonts w:ascii="Arial" w:hAnsi="Arial" w:cs="Arial"/>
          <w:b/>
          <w:sz w:val="22"/>
          <w:szCs w:val="22"/>
          <w:lang w:val="en-GB"/>
        </w:rPr>
        <w:t xml:space="preserve">against competitors </w:t>
      </w:r>
      <w:r w:rsidRPr="00AD4E29">
        <w:rPr>
          <w:rFonts w:ascii="Arial" w:hAnsi="Arial" w:cs="Arial"/>
          <w:b/>
          <w:sz w:val="22"/>
          <w:szCs w:val="22"/>
          <w:lang w:val="en-GB"/>
        </w:rPr>
        <w:t xml:space="preserve">relating to </w:t>
      </w:r>
      <w:r w:rsidR="00FD7EF0">
        <w:rPr>
          <w:rFonts w:ascii="Arial" w:hAnsi="Arial" w:cs="Arial"/>
          <w:b/>
          <w:sz w:val="22"/>
          <w:szCs w:val="22"/>
          <w:lang w:val="en-GB"/>
        </w:rPr>
        <w:t xml:space="preserve">(a) </w:t>
      </w:r>
      <w:r w:rsidRPr="00AD4E29">
        <w:rPr>
          <w:rFonts w:ascii="Arial" w:hAnsi="Arial" w:cs="Arial"/>
          <w:b/>
          <w:sz w:val="22"/>
          <w:szCs w:val="22"/>
          <w:lang w:val="en-GB"/>
        </w:rPr>
        <w:t xml:space="preserve">teaching quality and assessment and feedback in the NSS, </w:t>
      </w:r>
      <w:r w:rsidR="00FD7EF0">
        <w:rPr>
          <w:rFonts w:ascii="Arial" w:hAnsi="Arial" w:cs="Arial"/>
          <w:b/>
          <w:sz w:val="22"/>
          <w:szCs w:val="22"/>
          <w:lang w:val="en-GB"/>
        </w:rPr>
        <w:t xml:space="preserve">(b) </w:t>
      </w:r>
      <w:r w:rsidRPr="00AD4E29">
        <w:rPr>
          <w:rFonts w:ascii="Arial" w:hAnsi="Arial" w:cs="Arial"/>
          <w:b/>
          <w:sz w:val="22"/>
          <w:szCs w:val="22"/>
          <w:lang w:val="en-GB"/>
        </w:rPr>
        <w:t xml:space="preserve">the links between entry standards, degree attainment and employability, and </w:t>
      </w:r>
      <w:r w:rsidR="00FD7EF0">
        <w:rPr>
          <w:rFonts w:ascii="Arial" w:hAnsi="Arial" w:cs="Arial"/>
          <w:b/>
          <w:sz w:val="22"/>
          <w:szCs w:val="22"/>
          <w:lang w:val="en-GB"/>
        </w:rPr>
        <w:t xml:space="preserve">(c) </w:t>
      </w:r>
      <w:r w:rsidRPr="00AD4E29">
        <w:rPr>
          <w:rFonts w:ascii="Arial" w:hAnsi="Arial" w:cs="Arial"/>
          <w:b/>
          <w:sz w:val="22"/>
          <w:szCs w:val="22"/>
          <w:lang w:val="en-GB"/>
        </w:rPr>
        <w:t>retention</w:t>
      </w:r>
      <w:r w:rsidR="00FD7EF0">
        <w:rPr>
          <w:rFonts w:ascii="Arial" w:hAnsi="Arial" w:cs="Arial"/>
          <w:b/>
          <w:sz w:val="22"/>
          <w:szCs w:val="22"/>
          <w:lang w:val="en-GB"/>
        </w:rPr>
        <w:t>,</w:t>
      </w:r>
      <w:r w:rsidRPr="00AD4E29">
        <w:rPr>
          <w:rFonts w:ascii="Arial" w:hAnsi="Arial" w:cs="Arial"/>
          <w:b/>
          <w:sz w:val="22"/>
          <w:szCs w:val="22"/>
          <w:lang w:val="en-GB"/>
        </w:rPr>
        <w:t xml:space="preserve"> with a view to identifying and implementing actions as appropriate to address discrepancies</w:t>
      </w:r>
      <w:r w:rsidR="00FD7EF0">
        <w:rPr>
          <w:rFonts w:ascii="Arial" w:hAnsi="Arial" w:cs="Arial"/>
          <w:b/>
          <w:sz w:val="22"/>
          <w:szCs w:val="22"/>
          <w:lang w:val="en-GB"/>
        </w:rPr>
        <w:t xml:space="preserve"> with comparators</w:t>
      </w:r>
      <w:r w:rsidR="00632771">
        <w:rPr>
          <w:rFonts w:ascii="Arial" w:hAnsi="Arial" w:cs="Arial"/>
          <w:b/>
          <w:sz w:val="22"/>
          <w:szCs w:val="22"/>
          <w:lang w:val="en-GB"/>
        </w:rPr>
        <w:t xml:space="preserve"> and to address </w:t>
      </w:r>
      <w:r w:rsidR="00970435">
        <w:rPr>
          <w:rFonts w:ascii="Arial" w:hAnsi="Arial" w:cs="Arial"/>
          <w:b/>
          <w:sz w:val="22"/>
          <w:szCs w:val="22"/>
          <w:lang w:val="en-GB"/>
        </w:rPr>
        <w:t xml:space="preserve">any </w:t>
      </w:r>
      <w:r w:rsidR="00632771">
        <w:rPr>
          <w:rFonts w:ascii="Arial" w:hAnsi="Arial" w:cs="Arial"/>
          <w:b/>
          <w:sz w:val="22"/>
          <w:szCs w:val="22"/>
          <w:lang w:val="en-GB"/>
        </w:rPr>
        <w:t>significant differential attainment</w:t>
      </w:r>
      <w:r w:rsidR="00FD7EF0">
        <w:rPr>
          <w:rFonts w:ascii="Arial" w:hAnsi="Arial" w:cs="Arial"/>
          <w:b/>
          <w:sz w:val="22"/>
          <w:szCs w:val="22"/>
          <w:lang w:val="en-GB"/>
        </w:rPr>
        <w:t>.</w:t>
      </w:r>
    </w:p>
    <w:p w:rsidR="00523479" w:rsidRPr="00A5655C" w:rsidRDefault="00523479" w:rsidP="00DE4996">
      <w:pPr>
        <w:ind w:left="561"/>
        <w:rPr>
          <w:rFonts w:ascii="Arial" w:hAnsi="Arial" w:cs="Arial"/>
          <w:bCs/>
          <w:sz w:val="22"/>
          <w:szCs w:val="22"/>
          <w:lang w:val="en-GB"/>
        </w:rPr>
      </w:pPr>
    </w:p>
    <w:p w:rsidR="00DE4996" w:rsidRPr="00DD081B" w:rsidRDefault="00997A0E" w:rsidP="00DE4996">
      <w:pPr>
        <w:tabs>
          <w:tab w:val="left" w:pos="561"/>
        </w:tabs>
        <w:rPr>
          <w:rFonts w:ascii="Arial" w:hAnsi="Arial" w:cs="Arial"/>
          <w:b/>
          <w:sz w:val="22"/>
          <w:szCs w:val="22"/>
          <w:lang w:val="en-GB"/>
        </w:rPr>
      </w:pPr>
      <w:r>
        <w:rPr>
          <w:rFonts w:ascii="Arial" w:hAnsi="Arial" w:cs="Arial"/>
          <w:b/>
          <w:sz w:val="22"/>
          <w:szCs w:val="22"/>
          <w:lang w:val="en-GB"/>
        </w:rPr>
        <w:t>8</w:t>
      </w:r>
      <w:r w:rsidR="00DE4996" w:rsidRPr="00CC0FC6">
        <w:rPr>
          <w:rFonts w:ascii="Arial" w:hAnsi="Arial" w:cs="Arial"/>
          <w:b/>
          <w:sz w:val="22"/>
          <w:szCs w:val="22"/>
          <w:lang w:val="en-GB"/>
        </w:rPr>
        <w:t xml:space="preserve">. </w:t>
      </w:r>
      <w:r w:rsidR="00DE4996" w:rsidRPr="00CC0FC6">
        <w:rPr>
          <w:rFonts w:ascii="Arial" w:hAnsi="Arial" w:cs="Arial"/>
          <w:b/>
          <w:sz w:val="22"/>
          <w:szCs w:val="22"/>
          <w:lang w:val="en-GB"/>
        </w:rPr>
        <w:tab/>
      </w:r>
      <w:r w:rsidR="00DE4996" w:rsidRPr="00DD081B">
        <w:rPr>
          <w:rFonts w:ascii="Arial" w:hAnsi="Arial" w:cs="Arial"/>
          <w:b/>
          <w:sz w:val="22"/>
          <w:szCs w:val="22"/>
          <w:lang w:val="en-GB"/>
        </w:rPr>
        <w:t>Goal Th</w:t>
      </w:r>
      <w:r w:rsidR="00311C07" w:rsidRPr="00DD081B">
        <w:rPr>
          <w:rFonts w:ascii="Arial" w:hAnsi="Arial" w:cs="Arial"/>
          <w:b/>
          <w:sz w:val="22"/>
          <w:szCs w:val="22"/>
          <w:lang w:val="en-GB"/>
        </w:rPr>
        <w:t xml:space="preserve">ree – </w:t>
      </w:r>
      <w:r w:rsidR="00DE4996" w:rsidRPr="00DD081B">
        <w:rPr>
          <w:rFonts w:ascii="Arial" w:hAnsi="Arial" w:cs="Arial"/>
          <w:b/>
          <w:sz w:val="22"/>
          <w:szCs w:val="22"/>
          <w:lang w:val="en-GB"/>
        </w:rPr>
        <w:t>Social Responsibility</w:t>
      </w:r>
    </w:p>
    <w:p w:rsidR="00DE4996" w:rsidRPr="00DD081B" w:rsidRDefault="00DE4996" w:rsidP="00DE4996">
      <w:pPr>
        <w:tabs>
          <w:tab w:val="left" w:pos="561"/>
        </w:tabs>
        <w:rPr>
          <w:rFonts w:ascii="Arial" w:hAnsi="Arial" w:cs="Arial"/>
          <w:b/>
          <w:sz w:val="22"/>
          <w:szCs w:val="22"/>
          <w:lang w:val="en-GB"/>
        </w:rPr>
      </w:pPr>
    </w:p>
    <w:p w:rsidR="005139DF" w:rsidRDefault="00DE4996" w:rsidP="00DE4996">
      <w:pPr>
        <w:tabs>
          <w:tab w:val="left" w:pos="561"/>
        </w:tabs>
        <w:ind w:left="561" w:hanging="561"/>
        <w:rPr>
          <w:rFonts w:ascii="Arial" w:hAnsi="Arial" w:cs="Arial"/>
          <w:sz w:val="22"/>
          <w:szCs w:val="22"/>
          <w:lang w:val="en-GB"/>
        </w:rPr>
      </w:pPr>
      <w:r w:rsidRPr="00DD081B">
        <w:rPr>
          <w:rFonts w:ascii="Arial" w:hAnsi="Arial" w:cs="Arial"/>
          <w:b/>
          <w:sz w:val="22"/>
          <w:szCs w:val="22"/>
          <w:lang w:val="en-GB"/>
        </w:rPr>
        <w:tab/>
      </w:r>
      <w:r w:rsidR="00596219">
        <w:rPr>
          <w:rFonts w:ascii="Arial" w:hAnsi="Arial" w:cs="Arial"/>
          <w:sz w:val="22"/>
          <w:szCs w:val="22"/>
          <w:lang w:val="en-GB"/>
        </w:rPr>
        <w:t>The Review Group congratulated the Faculty on its good performance in terms of research and teaching with social and environmental impact, increasing participation from its students in the Manchester Leadership Programme</w:t>
      </w:r>
      <w:r w:rsidR="00B41E9B">
        <w:rPr>
          <w:rFonts w:ascii="Arial" w:hAnsi="Arial" w:cs="Arial"/>
          <w:sz w:val="22"/>
          <w:szCs w:val="22"/>
          <w:lang w:val="en-GB"/>
        </w:rPr>
        <w:t xml:space="preserve"> (MLP)</w:t>
      </w:r>
      <w:r w:rsidR="00596219">
        <w:rPr>
          <w:rFonts w:ascii="Arial" w:hAnsi="Arial" w:cs="Arial"/>
          <w:sz w:val="22"/>
          <w:szCs w:val="22"/>
          <w:lang w:val="en-GB"/>
        </w:rPr>
        <w:t xml:space="preserve"> and University College courses, and its </w:t>
      </w:r>
      <w:r w:rsidR="007558C1">
        <w:rPr>
          <w:rFonts w:ascii="Arial" w:hAnsi="Arial" w:cs="Arial"/>
          <w:sz w:val="22"/>
          <w:szCs w:val="22"/>
          <w:lang w:val="en-GB"/>
        </w:rPr>
        <w:t xml:space="preserve">proportion </w:t>
      </w:r>
      <w:r w:rsidR="00596219">
        <w:rPr>
          <w:rFonts w:ascii="Arial" w:hAnsi="Arial" w:cs="Arial"/>
          <w:sz w:val="22"/>
          <w:szCs w:val="22"/>
          <w:lang w:val="en-GB"/>
        </w:rPr>
        <w:t>of BME staff</w:t>
      </w:r>
      <w:r w:rsidR="00E7048E">
        <w:rPr>
          <w:rFonts w:ascii="Arial" w:hAnsi="Arial" w:cs="Arial"/>
          <w:sz w:val="22"/>
          <w:szCs w:val="22"/>
          <w:lang w:val="en-GB"/>
        </w:rPr>
        <w:t xml:space="preserve"> at senior lecturer, reader and </w:t>
      </w:r>
      <w:r w:rsidR="004C298A">
        <w:rPr>
          <w:rFonts w:ascii="Arial" w:hAnsi="Arial" w:cs="Arial"/>
          <w:sz w:val="22"/>
          <w:szCs w:val="22"/>
          <w:lang w:val="en-GB"/>
        </w:rPr>
        <w:t>p</w:t>
      </w:r>
      <w:r w:rsidR="00E7048E">
        <w:rPr>
          <w:rFonts w:ascii="Arial" w:hAnsi="Arial" w:cs="Arial"/>
          <w:sz w:val="22"/>
          <w:szCs w:val="22"/>
          <w:lang w:val="en-GB"/>
        </w:rPr>
        <w:t>rofessor (13%)</w:t>
      </w:r>
      <w:r w:rsidR="00596219">
        <w:rPr>
          <w:rFonts w:ascii="Arial" w:hAnsi="Arial" w:cs="Arial"/>
          <w:sz w:val="22"/>
          <w:szCs w:val="22"/>
          <w:lang w:val="en-GB"/>
        </w:rPr>
        <w:t>.</w:t>
      </w:r>
    </w:p>
    <w:p w:rsidR="00596219" w:rsidRPr="00596219" w:rsidRDefault="00596219" w:rsidP="00DE4996">
      <w:pPr>
        <w:tabs>
          <w:tab w:val="left" w:pos="561"/>
        </w:tabs>
        <w:ind w:left="561" w:hanging="561"/>
        <w:rPr>
          <w:rFonts w:ascii="Arial" w:hAnsi="Arial" w:cs="Arial"/>
          <w:b/>
          <w:sz w:val="22"/>
          <w:szCs w:val="22"/>
          <w:lang w:val="en-GB"/>
        </w:rPr>
      </w:pPr>
      <w:r>
        <w:rPr>
          <w:rFonts w:ascii="Arial" w:hAnsi="Arial" w:cs="Arial"/>
          <w:sz w:val="22"/>
          <w:szCs w:val="22"/>
          <w:lang w:val="en-GB"/>
        </w:rPr>
        <w:lastRenderedPageBreak/>
        <w:tab/>
      </w:r>
      <w:r w:rsidRPr="00596219">
        <w:rPr>
          <w:rFonts w:ascii="Arial" w:hAnsi="Arial" w:cs="Arial"/>
          <w:b/>
          <w:sz w:val="22"/>
          <w:szCs w:val="22"/>
          <w:lang w:val="en-GB"/>
        </w:rPr>
        <w:t>Socially responsible graduates</w:t>
      </w:r>
    </w:p>
    <w:p w:rsidR="00596219" w:rsidRDefault="00596219" w:rsidP="00DE4996">
      <w:pPr>
        <w:tabs>
          <w:tab w:val="left" w:pos="561"/>
        </w:tabs>
        <w:ind w:left="561" w:hanging="561"/>
        <w:rPr>
          <w:rFonts w:ascii="Arial" w:hAnsi="Arial" w:cs="Arial"/>
          <w:sz w:val="22"/>
          <w:szCs w:val="22"/>
          <w:lang w:val="en-GB"/>
        </w:rPr>
      </w:pPr>
      <w:r>
        <w:rPr>
          <w:rFonts w:ascii="Arial" w:hAnsi="Arial" w:cs="Arial"/>
          <w:sz w:val="22"/>
          <w:szCs w:val="22"/>
          <w:lang w:val="en-GB"/>
        </w:rPr>
        <w:tab/>
        <w:t>Students in the Faculty participated well with the ethical grand challenges, but there was more variation in engagement w</w:t>
      </w:r>
      <w:r w:rsidR="00487888">
        <w:rPr>
          <w:rFonts w:ascii="Arial" w:hAnsi="Arial" w:cs="Arial"/>
          <w:sz w:val="22"/>
          <w:szCs w:val="22"/>
          <w:lang w:val="en-GB"/>
        </w:rPr>
        <w:t xml:space="preserve">ith University College </w:t>
      </w:r>
      <w:r w:rsidR="00B41E9B">
        <w:rPr>
          <w:rFonts w:ascii="Arial" w:hAnsi="Arial" w:cs="Arial"/>
          <w:sz w:val="22"/>
          <w:szCs w:val="22"/>
          <w:lang w:val="en-GB"/>
        </w:rPr>
        <w:t>(including</w:t>
      </w:r>
      <w:r w:rsidR="00487888">
        <w:rPr>
          <w:rFonts w:ascii="Arial" w:hAnsi="Arial" w:cs="Arial"/>
          <w:sz w:val="22"/>
          <w:szCs w:val="22"/>
          <w:lang w:val="en-GB"/>
        </w:rPr>
        <w:t xml:space="preserve"> MLP</w:t>
      </w:r>
      <w:r w:rsidR="00B41E9B">
        <w:rPr>
          <w:rFonts w:ascii="Arial" w:hAnsi="Arial" w:cs="Arial"/>
          <w:sz w:val="22"/>
          <w:szCs w:val="22"/>
          <w:lang w:val="en-GB"/>
        </w:rPr>
        <w:t>)</w:t>
      </w:r>
      <w:r w:rsidR="00487888">
        <w:rPr>
          <w:rFonts w:ascii="Arial" w:hAnsi="Arial" w:cs="Arial"/>
          <w:sz w:val="22"/>
          <w:szCs w:val="22"/>
          <w:lang w:val="en-GB"/>
        </w:rPr>
        <w:t xml:space="preserve">, with 12.2% of Chemistry students undertaking a University College course, but </w:t>
      </w:r>
      <w:r w:rsidR="003F1E26">
        <w:rPr>
          <w:rFonts w:ascii="Arial" w:hAnsi="Arial" w:cs="Arial"/>
          <w:sz w:val="22"/>
          <w:szCs w:val="22"/>
          <w:lang w:val="en-GB"/>
        </w:rPr>
        <w:t>no</w:t>
      </w:r>
      <w:r w:rsidR="00487888">
        <w:rPr>
          <w:rFonts w:ascii="Arial" w:hAnsi="Arial" w:cs="Arial"/>
          <w:sz w:val="22"/>
          <w:szCs w:val="22"/>
          <w:lang w:val="en-GB"/>
        </w:rPr>
        <w:t xml:space="preserve"> MACE students engaging. The Faculty confirmed that University College was promoted to its </w:t>
      </w:r>
      <w:r w:rsidR="006F1614">
        <w:rPr>
          <w:rFonts w:ascii="Arial" w:hAnsi="Arial" w:cs="Arial"/>
          <w:sz w:val="22"/>
          <w:szCs w:val="22"/>
          <w:lang w:val="en-GB"/>
        </w:rPr>
        <w:t>students</w:t>
      </w:r>
      <w:r w:rsidR="00487888">
        <w:rPr>
          <w:rFonts w:ascii="Arial" w:hAnsi="Arial" w:cs="Arial"/>
          <w:sz w:val="22"/>
          <w:szCs w:val="22"/>
          <w:lang w:val="en-GB"/>
        </w:rPr>
        <w:t xml:space="preserve"> and that Schools were engaged, but that some programmes were constrained by the requirements of professional bodies. The </w:t>
      </w:r>
      <w:r w:rsidR="006F1614">
        <w:rPr>
          <w:rFonts w:ascii="Arial" w:hAnsi="Arial" w:cs="Arial"/>
          <w:sz w:val="22"/>
          <w:szCs w:val="22"/>
          <w:lang w:val="en-GB"/>
        </w:rPr>
        <w:t>Review</w:t>
      </w:r>
      <w:r w:rsidR="00487888">
        <w:rPr>
          <w:rFonts w:ascii="Arial" w:hAnsi="Arial" w:cs="Arial"/>
          <w:sz w:val="22"/>
          <w:szCs w:val="22"/>
          <w:lang w:val="en-GB"/>
        </w:rPr>
        <w:t xml:space="preserve"> Group urged the Faculty to monitor the differences between Schools.</w:t>
      </w:r>
    </w:p>
    <w:p w:rsidR="00487888" w:rsidRDefault="00487888" w:rsidP="00DE4996">
      <w:pPr>
        <w:tabs>
          <w:tab w:val="left" w:pos="561"/>
        </w:tabs>
        <w:ind w:left="561" w:hanging="561"/>
        <w:rPr>
          <w:rFonts w:ascii="Arial" w:hAnsi="Arial" w:cs="Arial"/>
          <w:sz w:val="22"/>
          <w:szCs w:val="22"/>
          <w:lang w:val="en-GB"/>
        </w:rPr>
      </w:pPr>
    </w:p>
    <w:p w:rsidR="00487888" w:rsidRDefault="00487888" w:rsidP="00DE4996">
      <w:pPr>
        <w:tabs>
          <w:tab w:val="left" w:pos="561"/>
        </w:tabs>
        <w:ind w:left="561" w:hanging="561"/>
        <w:rPr>
          <w:rFonts w:ascii="Arial" w:hAnsi="Arial" w:cs="Arial"/>
          <w:b/>
          <w:sz w:val="22"/>
          <w:szCs w:val="22"/>
          <w:lang w:val="en-GB"/>
        </w:rPr>
      </w:pPr>
      <w:r>
        <w:rPr>
          <w:rFonts w:ascii="Arial" w:hAnsi="Arial" w:cs="Arial"/>
          <w:sz w:val="22"/>
          <w:szCs w:val="22"/>
          <w:lang w:val="en-GB"/>
        </w:rPr>
        <w:tab/>
      </w:r>
      <w:r>
        <w:rPr>
          <w:rFonts w:ascii="Arial" w:hAnsi="Arial" w:cs="Arial"/>
          <w:b/>
          <w:sz w:val="22"/>
          <w:szCs w:val="22"/>
          <w:lang w:val="en-GB"/>
        </w:rPr>
        <w:t>Sustainability</w:t>
      </w:r>
    </w:p>
    <w:p w:rsidR="00487888" w:rsidRDefault="00487888" w:rsidP="00DE4996">
      <w:pPr>
        <w:tabs>
          <w:tab w:val="left" w:pos="561"/>
        </w:tabs>
        <w:ind w:left="561" w:hanging="561"/>
        <w:rPr>
          <w:rFonts w:ascii="Arial" w:hAnsi="Arial" w:cs="Arial"/>
          <w:sz w:val="22"/>
          <w:szCs w:val="22"/>
          <w:lang w:val="en-GB"/>
        </w:rPr>
      </w:pPr>
      <w:r>
        <w:rPr>
          <w:rFonts w:ascii="Arial" w:hAnsi="Arial" w:cs="Arial"/>
          <w:b/>
          <w:sz w:val="22"/>
          <w:szCs w:val="22"/>
          <w:lang w:val="en-GB"/>
        </w:rPr>
        <w:tab/>
      </w:r>
      <w:r w:rsidR="006F1614" w:rsidRPr="006F1614">
        <w:rPr>
          <w:rFonts w:ascii="Arial" w:hAnsi="Arial" w:cs="Arial"/>
          <w:sz w:val="22"/>
          <w:szCs w:val="22"/>
          <w:lang w:val="en-GB"/>
        </w:rPr>
        <w:t>The Faculty had successfully increased its numbers of green impact teams (20 in 2014/15, up from 15 in 2013/14)</w:t>
      </w:r>
      <w:r w:rsidR="006F1614">
        <w:rPr>
          <w:rFonts w:ascii="Arial" w:hAnsi="Arial" w:cs="Arial"/>
          <w:sz w:val="22"/>
          <w:szCs w:val="22"/>
          <w:lang w:val="en-GB"/>
        </w:rPr>
        <w:t xml:space="preserve"> and sustainability enthusiasts (37 in 2014/15 compared with 24 in 2013/14). However, the Review Group recognised that sustainability was the core business of the Faculty, and this was not reflected in the APR documentation</w:t>
      </w:r>
      <w:r w:rsidR="007558C1">
        <w:rPr>
          <w:rFonts w:ascii="Arial" w:hAnsi="Arial" w:cs="Arial"/>
          <w:sz w:val="22"/>
          <w:szCs w:val="22"/>
          <w:lang w:val="en-GB"/>
        </w:rPr>
        <w:t xml:space="preserve"> and needed to be made more visible externally</w:t>
      </w:r>
      <w:r w:rsidR="006F1614">
        <w:rPr>
          <w:rFonts w:ascii="Arial" w:hAnsi="Arial" w:cs="Arial"/>
          <w:sz w:val="22"/>
          <w:szCs w:val="22"/>
          <w:lang w:val="en-GB"/>
        </w:rPr>
        <w:t xml:space="preserve">. </w:t>
      </w:r>
      <w:r w:rsidR="009A15CA">
        <w:rPr>
          <w:rFonts w:ascii="Arial" w:hAnsi="Arial" w:cs="Arial"/>
          <w:sz w:val="22"/>
          <w:szCs w:val="22"/>
          <w:lang w:val="en-GB"/>
        </w:rPr>
        <w:t>There were a great number of examples that could be highlighted</w:t>
      </w:r>
      <w:r w:rsidR="006F1614">
        <w:rPr>
          <w:rFonts w:ascii="Arial" w:hAnsi="Arial" w:cs="Arial"/>
          <w:sz w:val="22"/>
          <w:szCs w:val="22"/>
          <w:lang w:val="en-GB"/>
        </w:rPr>
        <w:t>, such as the Tyndall Centre for Climate Change Research, water quality monitoring etc.</w:t>
      </w:r>
    </w:p>
    <w:p w:rsidR="00CA3A9C" w:rsidRPr="006F1614" w:rsidRDefault="006F1614" w:rsidP="00315315">
      <w:pPr>
        <w:tabs>
          <w:tab w:val="left" w:pos="561"/>
        </w:tabs>
        <w:ind w:left="561" w:hanging="561"/>
        <w:rPr>
          <w:rFonts w:ascii="Arial" w:hAnsi="Arial" w:cs="Arial"/>
          <w:sz w:val="22"/>
          <w:szCs w:val="22"/>
        </w:rPr>
      </w:pPr>
      <w:r>
        <w:rPr>
          <w:rFonts w:ascii="Arial" w:hAnsi="Arial" w:cs="Arial"/>
          <w:sz w:val="22"/>
          <w:szCs w:val="22"/>
          <w:lang w:val="en-GB"/>
        </w:rPr>
        <w:tab/>
      </w:r>
      <w:r>
        <w:rPr>
          <w:rFonts w:ascii="Arial" w:hAnsi="Arial" w:cs="Arial"/>
          <w:b/>
          <w:sz w:val="22"/>
          <w:szCs w:val="22"/>
          <w:lang w:val="en-GB"/>
        </w:rPr>
        <w:t xml:space="preserve">ACTION: to include in next year’s APR a showcase of </w:t>
      </w:r>
      <w:r w:rsidR="00523479">
        <w:rPr>
          <w:rFonts w:ascii="Arial" w:hAnsi="Arial" w:cs="Arial"/>
          <w:b/>
          <w:sz w:val="22"/>
          <w:szCs w:val="22"/>
          <w:lang w:val="en-GB"/>
        </w:rPr>
        <w:t>the Faculty’s key sustainability exempla</w:t>
      </w:r>
      <w:r w:rsidR="008F4708">
        <w:rPr>
          <w:rFonts w:ascii="Arial" w:hAnsi="Arial" w:cs="Arial"/>
          <w:b/>
          <w:sz w:val="22"/>
          <w:szCs w:val="22"/>
          <w:lang w:val="en-GB"/>
        </w:rPr>
        <w:t>rs</w:t>
      </w:r>
      <w:r w:rsidR="00841384">
        <w:rPr>
          <w:rFonts w:ascii="Arial" w:hAnsi="Arial" w:cs="Arial"/>
          <w:sz w:val="22"/>
          <w:szCs w:val="22"/>
          <w:lang w:val="en-GB"/>
        </w:rPr>
        <w:t>.</w:t>
      </w:r>
    </w:p>
    <w:p w:rsidR="00841384" w:rsidRDefault="00841384" w:rsidP="004E1E03">
      <w:pPr>
        <w:pStyle w:val="NormalWeb"/>
        <w:spacing w:before="0" w:beforeAutospacing="0" w:after="0" w:afterAutospacing="0"/>
        <w:ind w:left="561"/>
        <w:rPr>
          <w:rFonts w:ascii="Arial" w:hAnsi="Arial" w:cs="Arial"/>
          <w:b/>
          <w:sz w:val="22"/>
          <w:szCs w:val="22"/>
        </w:rPr>
      </w:pPr>
    </w:p>
    <w:p w:rsidR="00CA3A9C" w:rsidRDefault="009A15CA" w:rsidP="004E1E03">
      <w:pPr>
        <w:pStyle w:val="NormalWeb"/>
        <w:spacing w:before="0" w:beforeAutospacing="0" w:after="0" w:afterAutospacing="0"/>
        <w:ind w:left="561"/>
        <w:rPr>
          <w:rFonts w:ascii="Arial" w:hAnsi="Arial" w:cs="Arial"/>
          <w:b/>
          <w:sz w:val="22"/>
          <w:szCs w:val="22"/>
        </w:rPr>
      </w:pPr>
      <w:r w:rsidRPr="009A15CA">
        <w:rPr>
          <w:rFonts w:ascii="Arial" w:hAnsi="Arial" w:cs="Arial"/>
          <w:b/>
          <w:sz w:val="22"/>
          <w:szCs w:val="22"/>
        </w:rPr>
        <w:t>Communications</w:t>
      </w:r>
    </w:p>
    <w:p w:rsidR="0068291C" w:rsidRDefault="009A15CA" w:rsidP="0068291C">
      <w:pPr>
        <w:pStyle w:val="NormalWeb"/>
        <w:spacing w:before="0" w:beforeAutospacing="0" w:after="0" w:afterAutospacing="0"/>
        <w:ind w:left="561"/>
        <w:rPr>
          <w:rFonts w:ascii="Arial" w:hAnsi="Arial" w:cs="Arial"/>
          <w:sz w:val="22"/>
          <w:szCs w:val="22"/>
        </w:rPr>
      </w:pPr>
      <w:r>
        <w:rPr>
          <w:rFonts w:ascii="Arial" w:hAnsi="Arial" w:cs="Arial"/>
          <w:sz w:val="22"/>
          <w:szCs w:val="22"/>
        </w:rPr>
        <w:t xml:space="preserve">The Review Group noted the Faculty’s development of campaigns such as ‘The World Works Better with Us’ to help promote </w:t>
      </w:r>
      <w:r w:rsidR="00397E45">
        <w:rPr>
          <w:rFonts w:ascii="Arial" w:hAnsi="Arial" w:cs="Arial"/>
          <w:sz w:val="22"/>
          <w:szCs w:val="22"/>
        </w:rPr>
        <w:t xml:space="preserve">key </w:t>
      </w:r>
      <w:r>
        <w:rPr>
          <w:rFonts w:ascii="Arial" w:hAnsi="Arial" w:cs="Arial"/>
          <w:sz w:val="22"/>
          <w:szCs w:val="22"/>
        </w:rPr>
        <w:t>areas of research with impact. The Faculty reported that its Communications Team, appointed 18 months ago, had developed themes and networks to promote initiativ</w:t>
      </w:r>
      <w:r w:rsidR="00397E45">
        <w:rPr>
          <w:rFonts w:ascii="Arial" w:hAnsi="Arial" w:cs="Arial"/>
          <w:sz w:val="22"/>
          <w:szCs w:val="22"/>
        </w:rPr>
        <w:t xml:space="preserve">es and had introduced an </w:t>
      </w:r>
      <w:r>
        <w:rPr>
          <w:rFonts w:ascii="Arial" w:hAnsi="Arial" w:cs="Arial"/>
          <w:sz w:val="22"/>
          <w:szCs w:val="22"/>
        </w:rPr>
        <w:t>awards system to recognise and celebrate good practice</w:t>
      </w:r>
      <w:r w:rsidR="00397E45">
        <w:rPr>
          <w:rFonts w:ascii="Arial" w:hAnsi="Arial" w:cs="Arial"/>
          <w:sz w:val="22"/>
          <w:szCs w:val="22"/>
        </w:rPr>
        <w:t xml:space="preserve"> within the Faculty. </w:t>
      </w:r>
      <w:r w:rsidR="006F7514">
        <w:rPr>
          <w:rFonts w:ascii="Arial" w:hAnsi="Arial" w:cs="Arial"/>
          <w:sz w:val="22"/>
          <w:szCs w:val="22"/>
        </w:rPr>
        <w:t>These</w:t>
      </w:r>
      <w:r w:rsidR="00397E45">
        <w:rPr>
          <w:rFonts w:ascii="Arial" w:hAnsi="Arial" w:cs="Arial"/>
          <w:sz w:val="22"/>
          <w:szCs w:val="22"/>
        </w:rPr>
        <w:t xml:space="preserve"> campaigns and initiatives provided a focus for open days (e.g. the Big Bang Fair) and social responsibility was understood to be a key message in student recruitment. </w:t>
      </w:r>
      <w:r w:rsidR="0068291C">
        <w:rPr>
          <w:rFonts w:ascii="Arial" w:hAnsi="Arial" w:cs="Arial"/>
          <w:sz w:val="22"/>
          <w:szCs w:val="22"/>
        </w:rPr>
        <w:t xml:space="preserve">The Review Group also noted that social responsibility was embedded in the Faculty’s teaching, and that this should be articulated </w:t>
      </w:r>
      <w:r w:rsidR="004C298A">
        <w:rPr>
          <w:rFonts w:ascii="Arial" w:hAnsi="Arial" w:cs="Arial"/>
          <w:sz w:val="22"/>
          <w:szCs w:val="22"/>
        </w:rPr>
        <w:t xml:space="preserve">more </w:t>
      </w:r>
      <w:r w:rsidR="0068291C">
        <w:rPr>
          <w:rFonts w:ascii="Arial" w:hAnsi="Arial" w:cs="Arial"/>
          <w:sz w:val="22"/>
          <w:szCs w:val="22"/>
        </w:rPr>
        <w:t xml:space="preserve">strongly to </w:t>
      </w:r>
      <w:r w:rsidR="004C298A">
        <w:rPr>
          <w:rFonts w:ascii="Arial" w:hAnsi="Arial" w:cs="Arial"/>
          <w:sz w:val="22"/>
          <w:szCs w:val="22"/>
        </w:rPr>
        <w:t>external audiences</w:t>
      </w:r>
      <w:r w:rsidR="0068291C">
        <w:rPr>
          <w:rFonts w:ascii="Arial" w:hAnsi="Arial" w:cs="Arial"/>
          <w:sz w:val="22"/>
          <w:szCs w:val="22"/>
        </w:rPr>
        <w:t>.</w:t>
      </w:r>
      <w:r w:rsidR="00AD4E29">
        <w:rPr>
          <w:rFonts w:ascii="Arial" w:hAnsi="Arial" w:cs="Arial"/>
          <w:sz w:val="22"/>
          <w:szCs w:val="22"/>
        </w:rPr>
        <w:t xml:space="preserve"> </w:t>
      </w:r>
      <w:r w:rsidR="00C121CA">
        <w:rPr>
          <w:rFonts w:ascii="Arial" w:hAnsi="Arial" w:cs="Arial"/>
          <w:sz w:val="22"/>
          <w:szCs w:val="22"/>
        </w:rPr>
        <w:t>C</w:t>
      </w:r>
      <w:r w:rsidR="0068291C">
        <w:rPr>
          <w:rFonts w:ascii="Arial" w:hAnsi="Arial" w:cs="Arial"/>
          <w:sz w:val="22"/>
          <w:szCs w:val="22"/>
        </w:rPr>
        <w:t>urrent students regularly volunteered to help with public engagement events, such as those at Jodrell Bank Discovery Centre.</w:t>
      </w:r>
      <w:r w:rsidR="007558C1">
        <w:rPr>
          <w:rFonts w:ascii="Arial" w:hAnsi="Arial" w:cs="Arial"/>
          <w:sz w:val="22"/>
          <w:szCs w:val="22"/>
        </w:rPr>
        <w:t xml:space="preserve"> The Review Group felt that as an institution, the social responsibility aspects within courses could be better articulated for all students and this could be an effective tool in advertising and marketing.</w:t>
      </w:r>
    </w:p>
    <w:p w:rsidR="00E7048E" w:rsidRDefault="00E7048E" w:rsidP="0068291C">
      <w:pPr>
        <w:pStyle w:val="NormalWeb"/>
        <w:spacing w:before="0" w:beforeAutospacing="0" w:after="0" w:afterAutospacing="0"/>
        <w:ind w:left="561"/>
        <w:rPr>
          <w:rFonts w:ascii="Arial" w:hAnsi="Arial" w:cs="Arial"/>
          <w:b/>
          <w:sz w:val="22"/>
          <w:szCs w:val="22"/>
        </w:rPr>
      </w:pPr>
      <w:r w:rsidRPr="00497652">
        <w:rPr>
          <w:rFonts w:ascii="Arial" w:hAnsi="Arial" w:cs="Arial"/>
          <w:b/>
          <w:sz w:val="22"/>
          <w:szCs w:val="22"/>
        </w:rPr>
        <w:t xml:space="preserve">ACTION: </w:t>
      </w:r>
      <w:r w:rsidR="008F4708">
        <w:rPr>
          <w:rFonts w:ascii="Arial" w:hAnsi="Arial" w:cs="Arial"/>
          <w:b/>
          <w:sz w:val="22"/>
          <w:szCs w:val="22"/>
        </w:rPr>
        <w:t>t</w:t>
      </w:r>
      <w:r w:rsidR="00C121CA">
        <w:rPr>
          <w:rFonts w:ascii="Arial" w:hAnsi="Arial" w:cs="Arial"/>
          <w:b/>
          <w:sz w:val="22"/>
          <w:szCs w:val="22"/>
        </w:rPr>
        <w:t xml:space="preserve">o review how to articulate the social responsibility elements of the Faculty’s teaching activities. </w:t>
      </w:r>
    </w:p>
    <w:p w:rsidR="00C121CA" w:rsidRDefault="00C121CA" w:rsidP="0068291C">
      <w:pPr>
        <w:pStyle w:val="NormalWeb"/>
        <w:spacing w:before="0" w:beforeAutospacing="0" w:after="0" w:afterAutospacing="0"/>
        <w:ind w:left="561"/>
        <w:rPr>
          <w:rFonts w:ascii="Arial" w:hAnsi="Arial" w:cs="Arial"/>
          <w:b/>
          <w:sz w:val="22"/>
          <w:szCs w:val="22"/>
        </w:rPr>
      </w:pPr>
    </w:p>
    <w:p w:rsidR="00C121CA" w:rsidRDefault="00C121CA" w:rsidP="0068291C">
      <w:pPr>
        <w:pStyle w:val="NormalWeb"/>
        <w:spacing w:before="0" w:beforeAutospacing="0" w:after="0" w:afterAutospacing="0"/>
        <w:ind w:left="561"/>
        <w:rPr>
          <w:rFonts w:ascii="Arial" w:hAnsi="Arial" w:cs="Arial"/>
          <w:b/>
          <w:sz w:val="22"/>
          <w:szCs w:val="22"/>
        </w:rPr>
      </w:pPr>
      <w:r>
        <w:rPr>
          <w:rFonts w:ascii="Arial" w:hAnsi="Arial" w:cs="Arial"/>
          <w:b/>
          <w:sz w:val="22"/>
          <w:szCs w:val="22"/>
        </w:rPr>
        <w:t>Leadership</w:t>
      </w:r>
    </w:p>
    <w:p w:rsidR="00C121CA" w:rsidRDefault="00C121CA" w:rsidP="0068291C">
      <w:pPr>
        <w:pStyle w:val="NormalWeb"/>
        <w:spacing w:before="0" w:beforeAutospacing="0" w:after="0" w:afterAutospacing="0"/>
        <w:ind w:left="561"/>
        <w:rPr>
          <w:rFonts w:ascii="Arial" w:hAnsi="Arial" w:cs="Arial"/>
          <w:sz w:val="22"/>
          <w:szCs w:val="22"/>
        </w:rPr>
      </w:pPr>
      <w:r>
        <w:rPr>
          <w:rFonts w:ascii="Arial" w:hAnsi="Arial" w:cs="Arial"/>
          <w:sz w:val="22"/>
          <w:szCs w:val="22"/>
        </w:rPr>
        <w:t>The Faculty reported that it had identified staff to champion the five core social responsibility themes and develop networks in Schools.</w:t>
      </w:r>
    </w:p>
    <w:p w:rsidR="008F4708" w:rsidRPr="008F4708" w:rsidRDefault="008F4708" w:rsidP="0068291C">
      <w:pPr>
        <w:pStyle w:val="NormalWeb"/>
        <w:spacing w:before="0" w:beforeAutospacing="0" w:after="0" w:afterAutospacing="0"/>
        <w:ind w:left="561"/>
        <w:rPr>
          <w:rFonts w:ascii="Arial" w:hAnsi="Arial" w:cs="Arial"/>
          <w:b/>
          <w:sz w:val="22"/>
          <w:szCs w:val="22"/>
        </w:rPr>
      </w:pPr>
      <w:r w:rsidRPr="008F4708">
        <w:rPr>
          <w:rFonts w:ascii="Arial" w:hAnsi="Arial" w:cs="Arial"/>
          <w:b/>
          <w:sz w:val="22"/>
          <w:szCs w:val="22"/>
        </w:rPr>
        <w:t>ACTION: to continue to embed social re</w:t>
      </w:r>
      <w:r w:rsidR="00841384">
        <w:rPr>
          <w:rFonts w:ascii="Arial" w:hAnsi="Arial" w:cs="Arial"/>
          <w:b/>
          <w:sz w:val="22"/>
          <w:szCs w:val="22"/>
        </w:rPr>
        <w:t>sp</w:t>
      </w:r>
      <w:r w:rsidRPr="008F4708">
        <w:rPr>
          <w:rFonts w:ascii="Arial" w:hAnsi="Arial" w:cs="Arial"/>
          <w:b/>
          <w:sz w:val="22"/>
          <w:szCs w:val="22"/>
        </w:rPr>
        <w:t>onsibility leadership structures in the Faculty.</w:t>
      </w:r>
    </w:p>
    <w:p w:rsidR="00DE4996" w:rsidRPr="006F1614" w:rsidRDefault="00DE4996" w:rsidP="00DE4996">
      <w:pPr>
        <w:tabs>
          <w:tab w:val="left" w:pos="561"/>
        </w:tabs>
        <w:ind w:left="561" w:hanging="561"/>
        <w:rPr>
          <w:rFonts w:ascii="Arial" w:hAnsi="Arial" w:cs="Arial"/>
          <w:bCs/>
          <w:sz w:val="22"/>
          <w:szCs w:val="22"/>
          <w:lang w:val="en-GB"/>
        </w:rPr>
      </w:pPr>
    </w:p>
    <w:p w:rsidR="00DE4996" w:rsidRPr="00DD081B" w:rsidRDefault="00997A0E" w:rsidP="00DE4996">
      <w:pPr>
        <w:tabs>
          <w:tab w:val="left" w:pos="561"/>
        </w:tabs>
        <w:rPr>
          <w:rFonts w:ascii="Arial" w:hAnsi="Arial" w:cs="Arial"/>
          <w:b/>
          <w:sz w:val="22"/>
          <w:szCs w:val="22"/>
          <w:lang w:val="en-GB"/>
        </w:rPr>
      </w:pPr>
      <w:r w:rsidRPr="00DD081B">
        <w:rPr>
          <w:rFonts w:ascii="Arial" w:hAnsi="Arial" w:cs="Arial"/>
          <w:b/>
          <w:sz w:val="22"/>
          <w:szCs w:val="22"/>
          <w:lang w:val="en-GB"/>
        </w:rPr>
        <w:t>9</w:t>
      </w:r>
      <w:r w:rsidR="00DE4996" w:rsidRPr="00DD081B">
        <w:rPr>
          <w:rFonts w:ascii="Arial" w:hAnsi="Arial" w:cs="Arial"/>
          <w:b/>
          <w:sz w:val="22"/>
          <w:szCs w:val="22"/>
          <w:lang w:val="en-GB"/>
        </w:rPr>
        <w:t>.</w:t>
      </w:r>
      <w:r w:rsidR="00DE4996" w:rsidRPr="00DD081B">
        <w:rPr>
          <w:rFonts w:ascii="Arial" w:hAnsi="Arial" w:cs="Arial"/>
          <w:b/>
          <w:sz w:val="22"/>
          <w:szCs w:val="22"/>
          <w:lang w:val="en-GB"/>
        </w:rPr>
        <w:tab/>
        <w:t>Quality People</w:t>
      </w:r>
    </w:p>
    <w:p w:rsidR="00DE4996" w:rsidRPr="00DD081B" w:rsidRDefault="00DE4996" w:rsidP="00DE4996">
      <w:pPr>
        <w:tabs>
          <w:tab w:val="left" w:pos="561"/>
        </w:tabs>
        <w:ind w:left="561" w:hanging="561"/>
        <w:rPr>
          <w:rFonts w:ascii="Arial" w:hAnsi="Arial" w:cs="Arial"/>
          <w:b/>
          <w:sz w:val="22"/>
          <w:szCs w:val="22"/>
          <w:lang w:val="en-GB"/>
        </w:rPr>
      </w:pPr>
      <w:r w:rsidRPr="00DD081B">
        <w:rPr>
          <w:rFonts w:ascii="Arial" w:hAnsi="Arial" w:cs="Arial"/>
          <w:b/>
          <w:sz w:val="22"/>
          <w:szCs w:val="22"/>
          <w:lang w:val="en-GB"/>
        </w:rPr>
        <w:tab/>
      </w:r>
    </w:p>
    <w:p w:rsidR="00A64198" w:rsidRDefault="003A6C38" w:rsidP="00DE4996">
      <w:pPr>
        <w:tabs>
          <w:tab w:val="left" w:pos="561"/>
        </w:tabs>
        <w:ind w:left="561" w:hanging="561"/>
        <w:rPr>
          <w:rFonts w:ascii="Arial" w:hAnsi="Arial" w:cs="Arial"/>
          <w:sz w:val="22"/>
          <w:szCs w:val="22"/>
          <w:lang w:val="en-GB"/>
        </w:rPr>
      </w:pPr>
      <w:r w:rsidRPr="00DD081B">
        <w:rPr>
          <w:rFonts w:ascii="Arial" w:hAnsi="Arial" w:cs="Arial"/>
          <w:b/>
          <w:sz w:val="22"/>
          <w:szCs w:val="22"/>
          <w:lang w:val="en-GB"/>
        </w:rPr>
        <w:tab/>
      </w:r>
      <w:r w:rsidR="00A64198" w:rsidRPr="00A64198">
        <w:rPr>
          <w:rFonts w:ascii="Arial" w:hAnsi="Arial" w:cs="Arial"/>
          <w:sz w:val="22"/>
          <w:szCs w:val="22"/>
          <w:lang w:val="en-GB"/>
        </w:rPr>
        <w:t>The Review</w:t>
      </w:r>
      <w:r w:rsidR="00A64198">
        <w:rPr>
          <w:rFonts w:ascii="Arial" w:hAnsi="Arial" w:cs="Arial"/>
          <w:sz w:val="22"/>
          <w:szCs w:val="22"/>
          <w:lang w:val="en-GB"/>
        </w:rPr>
        <w:t xml:space="preserve"> Group was concerned at the </w:t>
      </w:r>
      <w:r w:rsidR="00693A13">
        <w:rPr>
          <w:rFonts w:ascii="Arial" w:hAnsi="Arial" w:cs="Arial"/>
          <w:sz w:val="22"/>
          <w:szCs w:val="22"/>
          <w:lang w:val="en-GB"/>
        </w:rPr>
        <w:t xml:space="preserve">very </w:t>
      </w:r>
      <w:r w:rsidR="00A64198">
        <w:rPr>
          <w:rFonts w:ascii="Arial" w:hAnsi="Arial" w:cs="Arial"/>
          <w:sz w:val="22"/>
          <w:szCs w:val="22"/>
          <w:lang w:val="en-GB"/>
        </w:rPr>
        <w:t>poor response across all Schools except Math</w:t>
      </w:r>
      <w:r w:rsidR="00927AF0">
        <w:rPr>
          <w:rFonts w:ascii="Arial" w:hAnsi="Arial" w:cs="Arial"/>
          <w:sz w:val="22"/>
          <w:szCs w:val="22"/>
          <w:lang w:val="en-GB"/>
        </w:rPr>
        <w:t>ematics</w:t>
      </w:r>
      <w:r w:rsidR="00A64198">
        <w:rPr>
          <w:rFonts w:ascii="Arial" w:hAnsi="Arial" w:cs="Arial"/>
          <w:sz w:val="22"/>
          <w:szCs w:val="22"/>
          <w:lang w:val="en-GB"/>
        </w:rPr>
        <w:t xml:space="preserve"> and </w:t>
      </w:r>
      <w:r w:rsidR="00BA174E">
        <w:rPr>
          <w:rFonts w:ascii="Arial" w:hAnsi="Arial" w:cs="Arial"/>
          <w:sz w:val="22"/>
          <w:szCs w:val="22"/>
          <w:lang w:val="en-GB"/>
        </w:rPr>
        <w:t>CEAS</w:t>
      </w:r>
      <w:r w:rsidR="00BA174E" w:rsidRPr="00A64198">
        <w:rPr>
          <w:rFonts w:ascii="Arial" w:hAnsi="Arial" w:cs="Arial"/>
          <w:sz w:val="22"/>
          <w:szCs w:val="22"/>
          <w:lang w:val="en-GB"/>
        </w:rPr>
        <w:t xml:space="preserve"> </w:t>
      </w:r>
      <w:r w:rsidR="00A64198">
        <w:rPr>
          <w:rFonts w:ascii="Arial" w:hAnsi="Arial" w:cs="Arial"/>
          <w:sz w:val="22"/>
          <w:szCs w:val="22"/>
          <w:lang w:val="en-GB"/>
        </w:rPr>
        <w:t>to question 5.1 “have you had an individual performance and development review or probation</w:t>
      </w:r>
      <w:r w:rsidR="003E421B">
        <w:rPr>
          <w:rFonts w:ascii="Arial" w:hAnsi="Arial" w:cs="Arial"/>
          <w:sz w:val="22"/>
          <w:szCs w:val="22"/>
          <w:lang w:val="en-GB"/>
        </w:rPr>
        <w:t xml:space="preserve"> review in the last 12 months?”</w:t>
      </w:r>
      <w:r w:rsidR="00A64198">
        <w:rPr>
          <w:rFonts w:ascii="Arial" w:hAnsi="Arial" w:cs="Arial"/>
          <w:sz w:val="22"/>
          <w:szCs w:val="22"/>
          <w:lang w:val="en-GB"/>
        </w:rPr>
        <w:t xml:space="preserve"> The Faculty reported that it was monitoring P&amp;DR rates, </w:t>
      </w:r>
      <w:r w:rsidR="00693A13">
        <w:rPr>
          <w:rFonts w:ascii="Arial" w:hAnsi="Arial" w:cs="Arial"/>
          <w:sz w:val="22"/>
          <w:szCs w:val="22"/>
          <w:lang w:val="en-GB"/>
        </w:rPr>
        <w:t>and</w:t>
      </w:r>
      <w:r w:rsidR="00A64198">
        <w:rPr>
          <w:rFonts w:ascii="Arial" w:hAnsi="Arial" w:cs="Arial"/>
          <w:sz w:val="22"/>
          <w:szCs w:val="22"/>
          <w:lang w:val="en-GB"/>
        </w:rPr>
        <w:t xml:space="preserve"> that </w:t>
      </w:r>
      <w:r w:rsidR="00BA174E">
        <w:rPr>
          <w:rFonts w:ascii="Arial" w:hAnsi="Arial" w:cs="Arial"/>
          <w:sz w:val="22"/>
          <w:szCs w:val="22"/>
          <w:lang w:val="en-GB"/>
        </w:rPr>
        <w:t xml:space="preserve">there was low participation from </w:t>
      </w:r>
      <w:r w:rsidR="00A64198">
        <w:rPr>
          <w:rFonts w:ascii="Arial" w:hAnsi="Arial" w:cs="Arial"/>
          <w:sz w:val="22"/>
          <w:szCs w:val="22"/>
          <w:lang w:val="en-GB"/>
        </w:rPr>
        <w:t xml:space="preserve">technical staff </w:t>
      </w:r>
      <w:r w:rsidR="00BA174E">
        <w:rPr>
          <w:rFonts w:ascii="Arial" w:hAnsi="Arial" w:cs="Arial"/>
          <w:sz w:val="22"/>
          <w:szCs w:val="22"/>
          <w:lang w:val="en-GB"/>
        </w:rPr>
        <w:t xml:space="preserve">who </w:t>
      </w:r>
      <w:r w:rsidR="00A64198">
        <w:rPr>
          <w:rFonts w:ascii="Arial" w:hAnsi="Arial" w:cs="Arial"/>
          <w:sz w:val="22"/>
          <w:szCs w:val="22"/>
          <w:lang w:val="en-GB"/>
        </w:rPr>
        <w:t xml:space="preserve">generally chose not to take part </w:t>
      </w:r>
      <w:r w:rsidR="003127A4">
        <w:rPr>
          <w:rFonts w:ascii="Arial" w:hAnsi="Arial" w:cs="Arial"/>
          <w:sz w:val="22"/>
          <w:szCs w:val="22"/>
          <w:lang w:val="en-GB"/>
        </w:rPr>
        <w:t>because</w:t>
      </w:r>
      <w:r w:rsidR="00A64198">
        <w:rPr>
          <w:rFonts w:ascii="Arial" w:hAnsi="Arial" w:cs="Arial"/>
          <w:sz w:val="22"/>
          <w:szCs w:val="22"/>
          <w:lang w:val="en-GB"/>
        </w:rPr>
        <w:t xml:space="preserve"> the process was </w:t>
      </w:r>
      <w:r w:rsidR="003127A4">
        <w:rPr>
          <w:rFonts w:ascii="Arial" w:hAnsi="Arial" w:cs="Arial"/>
          <w:sz w:val="22"/>
          <w:szCs w:val="22"/>
          <w:lang w:val="en-GB"/>
        </w:rPr>
        <w:t xml:space="preserve">not </w:t>
      </w:r>
      <w:r w:rsidR="00A64198">
        <w:rPr>
          <w:rFonts w:ascii="Arial" w:hAnsi="Arial" w:cs="Arial"/>
          <w:sz w:val="22"/>
          <w:szCs w:val="22"/>
          <w:lang w:val="en-GB"/>
        </w:rPr>
        <w:t xml:space="preserve">linked to pay. Instead managers </w:t>
      </w:r>
      <w:r w:rsidR="00693A13">
        <w:rPr>
          <w:rFonts w:ascii="Arial" w:hAnsi="Arial" w:cs="Arial"/>
          <w:sz w:val="22"/>
          <w:szCs w:val="22"/>
          <w:lang w:val="en-GB"/>
        </w:rPr>
        <w:t>set</w:t>
      </w:r>
      <w:r w:rsidR="00A64198">
        <w:rPr>
          <w:rFonts w:ascii="Arial" w:hAnsi="Arial" w:cs="Arial"/>
          <w:sz w:val="22"/>
          <w:szCs w:val="22"/>
          <w:lang w:val="en-GB"/>
        </w:rPr>
        <w:t xml:space="preserve"> targets and objectives in a separate discussion that was not formally badged as a P&amp;DR. The Review Group felt that this was an acceptable alternative and that it could perhaps be reflected in the </w:t>
      </w:r>
      <w:r w:rsidR="00BA174E">
        <w:rPr>
          <w:rFonts w:ascii="Arial" w:hAnsi="Arial" w:cs="Arial"/>
          <w:sz w:val="22"/>
          <w:szCs w:val="22"/>
          <w:lang w:val="en-GB"/>
        </w:rPr>
        <w:t xml:space="preserve">wording in the </w:t>
      </w:r>
      <w:r w:rsidR="00A64198">
        <w:rPr>
          <w:rFonts w:ascii="Arial" w:hAnsi="Arial" w:cs="Arial"/>
          <w:sz w:val="22"/>
          <w:szCs w:val="22"/>
          <w:lang w:val="en-GB"/>
        </w:rPr>
        <w:t>next staff survey.</w:t>
      </w:r>
      <w:r w:rsidR="00AD4E29" w:rsidDel="00AD4E29">
        <w:rPr>
          <w:rFonts w:ascii="Arial" w:hAnsi="Arial" w:cs="Arial"/>
          <w:sz w:val="22"/>
          <w:szCs w:val="22"/>
          <w:lang w:val="en-GB"/>
        </w:rPr>
        <w:t xml:space="preserve"> </w:t>
      </w:r>
      <w:r w:rsidR="00A64198" w:rsidRPr="00A64198">
        <w:rPr>
          <w:rFonts w:ascii="Arial" w:hAnsi="Arial" w:cs="Arial"/>
          <w:sz w:val="22"/>
          <w:szCs w:val="22"/>
          <w:lang w:val="en-GB"/>
        </w:rPr>
        <w:t xml:space="preserve">In response to the low scores for question 2.6 “on the whole, communication in the University is effective”, the Faculty had introduced </w:t>
      </w:r>
      <w:r w:rsidR="00BA174E">
        <w:rPr>
          <w:rFonts w:ascii="Arial" w:hAnsi="Arial" w:cs="Arial"/>
          <w:sz w:val="22"/>
          <w:szCs w:val="22"/>
          <w:lang w:val="en-GB"/>
        </w:rPr>
        <w:t xml:space="preserve">individual </w:t>
      </w:r>
      <w:r w:rsidR="004661B4">
        <w:rPr>
          <w:rFonts w:ascii="Arial" w:hAnsi="Arial" w:cs="Arial"/>
          <w:sz w:val="22"/>
          <w:szCs w:val="22"/>
          <w:lang w:val="en-GB"/>
        </w:rPr>
        <w:t>S</w:t>
      </w:r>
      <w:r w:rsidR="00BA174E">
        <w:rPr>
          <w:rFonts w:ascii="Arial" w:hAnsi="Arial" w:cs="Arial"/>
          <w:sz w:val="22"/>
          <w:szCs w:val="22"/>
          <w:lang w:val="en-GB"/>
        </w:rPr>
        <w:t>chool visits</w:t>
      </w:r>
      <w:r w:rsidR="00A64198" w:rsidRPr="00A64198">
        <w:rPr>
          <w:rFonts w:ascii="Arial" w:hAnsi="Arial" w:cs="Arial"/>
          <w:sz w:val="22"/>
          <w:szCs w:val="22"/>
          <w:lang w:val="en-GB"/>
        </w:rPr>
        <w:t xml:space="preserve"> </w:t>
      </w:r>
      <w:r w:rsidR="00BA174E">
        <w:rPr>
          <w:rFonts w:ascii="Arial" w:hAnsi="Arial" w:cs="Arial"/>
          <w:sz w:val="22"/>
          <w:szCs w:val="22"/>
          <w:lang w:val="en-GB"/>
        </w:rPr>
        <w:t>by</w:t>
      </w:r>
      <w:r w:rsidR="00A64198" w:rsidRPr="00A64198">
        <w:rPr>
          <w:rFonts w:ascii="Arial" w:hAnsi="Arial" w:cs="Arial"/>
          <w:sz w:val="22"/>
          <w:szCs w:val="22"/>
          <w:lang w:val="en-GB"/>
        </w:rPr>
        <w:t xml:space="preserve"> the </w:t>
      </w:r>
      <w:r w:rsidR="004661B4" w:rsidRPr="00A64198">
        <w:rPr>
          <w:rFonts w:ascii="Arial" w:hAnsi="Arial" w:cs="Arial"/>
          <w:sz w:val="22"/>
          <w:szCs w:val="22"/>
          <w:lang w:val="en-GB"/>
        </w:rPr>
        <w:t xml:space="preserve">VPD. </w:t>
      </w:r>
      <w:r w:rsidR="00A64198" w:rsidRPr="00A64198">
        <w:rPr>
          <w:rFonts w:ascii="Arial" w:hAnsi="Arial" w:cs="Arial"/>
          <w:sz w:val="22"/>
          <w:szCs w:val="22"/>
          <w:lang w:val="en-GB"/>
        </w:rPr>
        <w:t xml:space="preserve">These had been well </w:t>
      </w:r>
      <w:r w:rsidR="0064522B" w:rsidRPr="00A64198">
        <w:rPr>
          <w:rFonts w:ascii="Arial" w:hAnsi="Arial" w:cs="Arial"/>
          <w:sz w:val="22"/>
          <w:szCs w:val="22"/>
          <w:lang w:val="en-GB"/>
        </w:rPr>
        <w:t>received</w:t>
      </w:r>
      <w:r w:rsidR="00A64198" w:rsidRPr="00A64198">
        <w:rPr>
          <w:rFonts w:ascii="Arial" w:hAnsi="Arial" w:cs="Arial"/>
          <w:sz w:val="22"/>
          <w:szCs w:val="22"/>
          <w:lang w:val="en-GB"/>
        </w:rPr>
        <w:t xml:space="preserve"> so far, but it was acknowledged that communication</w:t>
      </w:r>
      <w:r w:rsidR="003127A4">
        <w:rPr>
          <w:rFonts w:ascii="Arial" w:hAnsi="Arial" w:cs="Arial"/>
          <w:sz w:val="22"/>
          <w:szCs w:val="22"/>
          <w:lang w:val="en-GB"/>
        </w:rPr>
        <w:t xml:space="preserve"> </w:t>
      </w:r>
      <w:r w:rsidR="00BA174E">
        <w:rPr>
          <w:rFonts w:ascii="Arial" w:hAnsi="Arial" w:cs="Arial"/>
          <w:sz w:val="22"/>
          <w:szCs w:val="22"/>
          <w:lang w:val="en-GB"/>
        </w:rPr>
        <w:t xml:space="preserve">of messages in a consistent way </w:t>
      </w:r>
      <w:r w:rsidR="003127A4">
        <w:rPr>
          <w:rFonts w:ascii="Arial" w:hAnsi="Arial" w:cs="Arial"/>
          <w:sz w:val="22"/>
          <w:szCs w:val="22"/>
          <w:lang w:val="en-GB"/>
        </w:rPr>
        <w:t xml:space="preserve">was difficult in such a large </w:t>
      </w:r>
      <w:r w:rsidR="00BA174E">
        <w:rPr>
          <w:rFonts w:ascii="Arial" w:hAnsi="Arial" w:cs="Arial"/>
          <w:sz w:val="22"/>
          <w:szCs w:val="22"/>
          <w:lang w:val="en-GB"/>
        </w:rPr>
        <w:t xml:space="preserve">and diverse </w:t>
      </w:r>
      <w:r w:rsidR="003127A4">
        <w:rPr>
          <w:rFonts w:ascii="Arial" w:hAnsi="Arial" w:cs="Arial"/>
          <w:sz w:val="22"/>
          <w:szCs w:val="22"/>
          <w:lang w:val="en-GB"/>
        </w:rPr>
        <w:t>F</w:t>
      </w:r>
      <w:r w:rsidR="00A64198" w:rsidRPr="00A64198">
        <w:rPr>
          <w:rFonts w:ascii="Arial" w:hAnsi="Arial" w:cs="Arial"/>
          <w:sz w:val="22"/>
          <w:szCs w:val="22"/>
          <w:lang w:val="en-GB"/>
        </w:rPr>
        <w:t>aculty.</w:t>
      </w:r>
    </w:p>
    <w:p w:rsidR="00693A13" w:rsidRDefault="00693A13" w:rsidP="00DE4996">
      <w:pPr>
        <w:tabs>
          <w:tab w:val="left" w:pos="561"/>
        </w:tabs>
        <w:ind w:left="561" w:hanging="561"/>
        <w:rPr>
          <w:rFonts w:ascii="Arial" w:hAnsi="Arial" w:cs="Arial"/>
          <w:sz w:val="22"/>
          <w:szCs w:val="22"/>
          <w:lang w:val="en-GB"/>
        </w:rPr>
      </w:pPr>
    </w:p>
    <w:p w:rsidR="00693A13" w:rsidRDefault="00693A13" w:rsidP="00DE4996">
      <w:pPr>
        <w:tabs>
          <w:tab w:val="left" w:pos="561"/>
        </w:tabs>
        <w:ind w:left="561" w:hanging="561"/>
        <w:rPr>
          <w:rFonts w:ascii="Arial" w:hAnsi="Arial" w:cs="Arial"/>
          <w:sz w:val="22"/>
          <w:szCs w:val="22"/>
          <w:lang w:val="en-GB"/>
        </w:rPr>
      </w:pPr>
      <w:r>
        <w:rPr>
          <w:rFonts w:ascii="Arial" w:hAnsi="Arial" w:cs="Arial"/>
          <w:sz w:val="22"/>
          <w:szCs w:val="22"/>
          <w:lang w:val="en-GB"/>
        </w:rPr>
        <w:tab/>
        <w:t xml:space="preserve">The Faculty reported that Schools were </w:t>
      </w:r>
      <w:r w:rsidR="00C121CA">
        <w:rPr>
          <w:rFonts w:ascii="Arial" w:hAnsi="Arial" w:cs="Arial"/>
          <w:sz w:val="22"/>
          <w:szCs w:val="22"/>
          <w:lang w:val="en-GB"/>
        </w:rPr>
        <w:t>developing</w:t>
      </w:r>
      <w:r>
        <w:rPr>
          <w:rFonts w:ascii="Arial" w:hAnsi="Arial" w:cs="Arial"/>
          <w:sz w:val="22"/>
          <w:szCs w:val="22"/>
          <w:lang w:val="en-GB"/>
        </w:rPr>
        <w:t xml:space="preserve"> workload allocation models</w:t>
      </w:r>
      <w:r w:rsidR="002C6AF3">
        <w:rPr>
          <w:rFonts w:ascii="Arial" w:hAnsi="Arial" w:cs="Arial"/>
          <w:sz w:val="22"/>
          <w:szCs w:val="22"/>
          <w:lang w:val="en-GB"/>
        </w:rPr>
        <w:t xml:space="preserve"> and would be meeting to discuss and share best practice. </w:t>
      </w:r>
      <w:r w:rsidR="00BA174E">
        <w:rPr>
          <w:rFonts w:ascii="Arial" w:hAnsi="Arial" w:cs="Arial"/>
          <w:sz w:val="22"/>
          <w:szCs w:val="22"/>
          <w:lang w:val="en-GB"/>
        </w:rPr>
        <w:t xml:space="preserve">It felt that </w:t>
      </w:r>
      <w:r w:rsidR="002C6AF3">
        <w:rPr>
          <w:rFonts w:ascii="Arial" w:hAnsi="Arial" w:cs="Arial"/>
          <w:sz w:val="22"/>
          <w:szCs w:val="22"/>
          <w:lang w:val="en-GB"/>
        </w:rPr>
        <w:t xml:space="preserve">Schools needed to be allowed to reflect their own culture within a workload allocation model </w:t>
      </w:r>
      <w:r w:rsidR="00BA174E">
        <w:rPr>
          <w:rFonts w:ascii="Arial" w:hAnsi="Arial" w:cs="Arial"/>
          <w:sz w:val="22"/>
          <w:szCs w:val="22"/>
          <w:lang w:val="en-GB"/>
        </w:rPr>
        <w:t xml:space="preserve">so was content for </w:t>
      </w:r>
      <w:r w:rsidR="004661B4">
        <w:rPr>
          <w:rFonts w:ascii="Arial" w:hAnsi="Arial" w:cs="Arial"/>
          <w:sz w:val="22"/>
          <w:szCs w:val="22"/>
          <w:lang w:val="en-GB"/>
        </w:rPr>
        <w:t>different</w:t>
      </w:r>
      <w:r w:rsidR="00BA174E">
        <w:rPr>
          <w:rFonts w:ascii="Arial" w:hAnsi="Arial" w:cs="Arial"/>
          <w:sz w:val="22"/>
          <w:szCs w:val="22"/>
          <w:lang w:val="en-GB"/>
        </w:rPr>
        <w:t xml:space="preserve"> models to exist provided they ensured </w:t>
      </w:r>
      <w:r w:rsidR="002C6AF3">
        <w:rPr>
          <w:rFonts w:ascii="Arial" w:hAnsi="Arial" w:cs="Arial"/>
          <w:sz w:val="22"/>
          <w:szCs w:val="22"/>
          <w:lang w:val="en-GB"/>
        </w:rPr>
        <w:t>consistency in certain areas.</w:t>
      </w:r>
      <w:r w:rsidR="002C6AF3" w:rsidRPr="002C6AF3">
        <w:rPr>
          <w:rFonts w:ascii="Arial" w:hAnsi="Arial" w:cs="Arial"/>
          <w:sz w:val="22"/>
          <w:szCs w:val="22"/>
          <w:lang w:val="en-GB"/>
        </w:rPr>
        <w:t xml:space="preserve"> </w:t>
      </w:r>
      <w:r w:rsidR="002C6AF3">
        <w:rPr>
          <w:rFonts w:ascii="Arial" w:hAnsi="Arial" w:cs="Arial"/>
          <w:sz w:val="22"/>
          <w:szCs w:val="22"/>
          <w:lang w:val="en-GB"/>
        </w:rPr>
        <w:t>Openness and transparency were key.</w:t>
      </w:r>
    </w:p>
    <w:p w:rsidR="002C6AF3" w:rsidRDefault="002C6AF3" w:rsidP="00DE4996">
      <w:pPr>
        <w:tabs>
          <w:tab w:val="left" w:pos="561"/>
        </w:tabs>
        <w:ind w:left="561" w:hanging="561"/>
        <w:rPr>
          <w:rFonts w:ascii="Arial" w:hAnsi="Arial" w:cs="Arial"/>
          <w:sz w:val="22"/>
          <w:szCs w:val="22"/>
          <w:lang w:val="en-GB"/>
        </w:rPr>
      </w:pPr>
    </w:p>
    <w:p w:rsidR="002C6AF3" w:rsidRPr="002C6AF3" w:rsidRDefault="002C6AF3" w:rsidP="00DE4996">
      <w:pPr>
        <w:tabs>
          <w:tab w:val="left" w:pos="561"/>
        </w:tabs>
        <w:ind w:left="561" w:hanging="561"/>
        <w:rPr>
          <w:rFonts w:ascii="Arial" w:hAnsi="Arial" w:cs="Arial"/>
          <w:sz w:val="22"/>
          <w:szCs w:val="22"/>
          <w:lang w:val="en-GB"/>
        </w:rPr>
      </w:pPr>
      <w:r>
        <w:rPr>
          <w:rFonts w:ascii="Arial" w:hAnsi="Arial" w:cs="Arial"/>
          <w:sz w:val="22"/>
          <w:szCs w:val="22"/>
          <w:lang w:val="en-GB"/>
        </w:rPr>
        <w:lastRenderedPageBreak/>
        <w:tab/>
        <w:t>The Review Group queried how the Faculty was encouraging its ‘middle’ performers to achieve a fuller potential</w:t>
      </w:r>
      <w:r w:rsidR="00BA174E">
        <w:rPr>
          <w:rFonts w:ascii="Arial" w:hAnsi="Arial" w:cs="Arial"/>
          <w:sz w:val="22"/>
          <w:szCs w:val="22"/>
          <w:lang w:val="en-GB"/>
        </w:rPr>
        <w:t>, whilst acknowledging the huge investment in time to manage underperformance</w:t>
      </w:r>
      <w:r>
        <w:rPr>
          <w:rFonts w:ascii="Arial" w:hAnsi="Arial" w:cs="Arial"/>
          <w:sz w:val="22"/>
          <w:szCs w:val="22"/>
          <w:lang w:val="en-GB"/>
        </w:rPr>
        <w:t>. The Faculty reported that it was freeing up academic time and encouraging staff to make links with larger collaborative groups, especially in key theme areas and new research areas. Working across traditional boundaries (e.g. engineering/science) was to be encouraged. The VPD sent personal letters of thanks to a</w:t>
      </w:r>
      <w:r w:rsidR="003127A4">
        <w:rPr>
          <w:rFonts w:ascii="Arial" w:hAnsi="Arial" w:cs="Arial"/>
          <w:sz w:val="22"/>
          <w:szCs w:val="22"/>
          <w:lang w:val="en-GB"/>
        </w:rPr>
        <w:t xml:space="preserve">cademics to acknowledge their efforts in securing </w:t>
      </w:r>
      <w:r w:rsidR="00990A4F">
        <w:rPr>
          <w:rFonts w:ascii="Arial" w:hAnsi="Arial" w:cs="Arial"/>
          <w:sz w:val="22"/>
          <w:szCs w:val="22"/>
          <w:lang w:val="en-GB"/>
        </w:rPr>
        <w:t xml:space="preserve">significant </w:t>
      </w:r>
      <w:r w:rsidR="003127A4">
        <w:rPr>
          <w:rFonts w:ascii="Arial" w:hAnsi="Arial" w:cs="Arial"/>
          <w:sz w:val="22"/>
          <w:szCs w:val="22"/>
          <w:lang w:val="en-GB"/>
        </w:rPr>
        <w:t>grants</w:t>
      </w:r>
      <w:r w:rsidR="00CD10EE">
        <w:rPr>
          <w:rFonts w:ascii="Arial" w:hAnsi="Arial" w:cs="Arial"/>
          <w:sz w:val="22"/>
          <w:szCs w:val="22"/>
          <w:lang w:val="en-GB"/>
        </w:rPr>
        <w:t xml:space="preserve"> or studentships</w:t>
      </w:r>
      <w:r w:rsidR="00990A4F">
        <w:rPr>
          <w:rFonts w:ascii="Arial" w:hAnsi="Arial" w:cs="Arial"/>
          <w:sz w:val="22"/>
          <w:szCs w:val="22"/>
          <w:lang w:val="en-GB"/>
        </w:rPr>
        <w:t>.</w:t>
      </w:r>
      <w:r>
        <w:rPr>
          <w:rFonts w:ascii="Arial" w:hAnsi="Arial" w:cs="Arial"/>
          <w:sz w:val="22"/>
          <w:szCs w:val="22"/>
          <w:lang w:val="en-GB"/>
        </w:rPr>
        <w:t xml:space="preserve"> However, active management of the underperformers continued to be a challenge, and staff </w:t>
      </w:r>
      <w:r w:rsidR="003127A4">
        <w:rPr>
          <w:rFonts w:ascii="Arial" w:hAnsi="Arial" w:cs="Arial"/>
          <w:sz w:val="22"/>
          <w:szCs w:val="22"/>
          <w:lang w:val="en-GB"/>
        </w:rPr>
        <w:t>in</w:t>
      </w:r>
      <w:r>
        <w:rPr>
          <w:rFonts w:ascii="Arial" w:hAnsi="Arial" w:cs="Arial"/>
          <w:sz w:val="22"/>
          <w:szCs w:val="22"/>
          <w:lang w:val="en-GB"/>
        </w:rPr>
        <w:t xml:space="preserve"> key leadership positions often felt underequipped; the Faculty was holding workshops to help staff with performance management and providing the tools from HR.</w:t>
      </w:r>
    </w:p>
    <w:p w:rsidR="000B0498" w:rsidRPr="00B80C73" w:rsidRDefault="000B0498" w:rsidP="00DE4996">
      <w:pPr>
        <w:tabs>
          <w:tab w:val="left" w:pos="561"/>
        </w:tabs>
        <w:ind w:left="561" w:hanging="561"/>
        <w:rPr>
          <w:rFonts w:ascii="Arial" w:hAnsi="Arial" w:cs="Arial"/>
          <w:sz w:val="20"/>
          <w:szCs w:val="20"/>
          <w:lang w:val="en-GB"/>
        </w:rPr>
      </w:pPr>
    </w:p>
    <w:p w:rsidR="00DE4996" w:rsidRPr="00DD081B" w:rsidRDefault="00DE4996" w:rsidP="00DE4996">
      <w:pPr>
        <w:tabs>
          <w:tab w:val="left" w:pos="561"/>
        </w:tabs>
        <w:ind w:left="561" w:hanging="561"/>
        <w:rPr>
          <w:rFonts w:ascii="Arial" w:hAnsi="Arial" w:cs="Arial"/>
          <w:b/>
          <w:sz w:val="22"/>
          <w:szCs w:val="22"/>
          <w:lang w:val="en-GB"/>
        </w:rPr>
      </w:pPr>
      <w:r w:rsidRPr="00DD081B">
        <w:rPr>
          <w:rFonts w:ascii="Arial" w:hAnsi="Arial" w:cs="Arial"/>
          <w:b/>
          <w:sz w:val="22"/>
          <w:szCs w:val="22"/>
          <w:lang w:val="en-GB"/>
        </w:rPr>
        <w:t>1</w:t>
      </w:r>
      <w:r w:rsidR="00997A0E" w:rsidRPr="00DD081B">
        <w:rPr>
          <w:rFonts w:ascii="Arial" w:hAnsi="Arial" w:cs="Arial"/>
          <w:b/>
          <w:sz w:val="22"/>
          <w:szCs w:val="22"/>
          <w:lang w:val="en-GB"/>
        </w:rPr>
        <w:t>0</w:t>
      </w:r>
      <w:r w:rsidRPr="00DD081B">
        <w:rPr>
          <w:rFonts w:ascii="Arial" w:hAnsi="Arial" w:cs="Arial"/>
          <w:b/>
          <w:sz w:val="22"/>
          <w:szCs w:val="22"/>
          <w:lang w:val="en-GB"/>
        </w:rPr>
        <w:t>.</w:t>
      </w:r>
      <w:r w:rsidRPr="00DD081B">
        <w:rPr>
          <w:rFonts w:ascii="Arial" w:hAnsi="Arial" w:cs="Arial"/>
          <w:b/>
          <w:sz w:val="22"/>
          <w:szCs w:val="22"/>
          <w:lang w:val="en-GB"/>
        </w:rPr>
        <w:tab/>
        <w:t>Risk and Compliance</w:t>
      </w:r>
    </w:p>
    <w:p w:rsidR="00DE4996" w:rsidRPr="00B80C73" w:rsidRDefault="00DE4996" w:rsidP="00DE4996">
      <w:pPr>
        <w:tabs>
          <w:tab w:val="left" w:pos="561"/>
        </w:tabs>
        <w:ind w:left="561" w:hanging="561"/>
        <w:rPr>
          <w:rFonts w:ascii="Arial" w:hAnsi="Arial" w:cs="Arial"/>
          <w:b/>
          <w:sz w:val="20"/>
          <w:szCs w:val="20"/>
          <w:lang w:val="en-GB"/>
        </w:rPr>
      </w:pPr>
    </w:p>
    <w:p w:rsidR="00315315" w:rsidRDefault="00DE4996" w:rsidP="00315315">
      <w:pPr>
        <w:tabs>
          <w:tab w:val="left" w:pos="561"/>
        </w:tabs>
        <w:ind w:left="561" w:hanging="561"/>
        <w:rPr>
          <w:rFonts w:ascii="Arial" w:hAnsi="Arial" w:cs="Arial"/>
          <w:sz w:val="22"/>
          <w:szCs w:val="22"/>
          <w:lang w:val="en-GB"/>
        </w:rPr>
      </w:pPr>
      <w:r w:rsidRPr="00DD081B">
        <w:rPr>
          <w:rFonts w:ascii="Arial" w:hAnsi="Arial" w:cs="Arial"/>
          <w:b/>
          <w:sz w:val="22"/>
          <w:szCs w:val="22"/>
          <w:lang w:val="en-GB"/>
        </w:rPr>
        <w:tab/>
      </w:r>
      <w:r w:rsidR="00DC61CA">
        <w:rPr>
          <w:rFonts w:ascii="Arial" w:hAnsi="Arial" w:cs="Arial"/>
          <w:sz w:val="22"/>
          <w:szCs w:val="22"/>
          <w:lang w:val="en-GB"/>
        </w:rPr>
        <w:t xml:space="preserve">The Review Group noted that there </w:t>
      </w:r>
      <w:r w:rsidR="00C121CA">
        <w:rPr>
          <w:rFonts w:ascii="Arial" w:hAnsi="Arial" w:cs="Arial"/>
          <w:sz w:val="22"/>
          <w:szCs w:val="22"/>
          <w:lang w:val="en-GB"/>
        </w:rPr>
        <w:t>h</w:t>
      </w:r>
      <w:r w:rsidR="007D168C">
        <w:rPr>
          <w:rFonts w:ascii="Arial" w:hAnsi="Arial" w:cs="Arial"/>
          <w:sz w:val="22"/>
          <w:szCs w:val="22"/>
          <w:lang w:val="en-GB"/>
        </w:rPr>
        <w:t>ad been</w:t>
      </w:r>
      <w:r w:rsidR="00C121CA">
        <w:rPr>
          <w:rFonts w:ascii="Arial" w:hAnsi="Arial" w:cs="Arial"/>
          <w:sz w:val="22"/>
          <w:szCs w:val="22"/>
          <w:lang w:val="en-GB"/>
        </w:rPr>
        <w:t xml:space="preserve"> </w:t>
      </w:r>
      <w:r w:rsidR="00DC61CA">
        <w:rPr>
          <w:rFonts w:ascii="Arial" w:hAnsi="Arial" w:cs="Arial"/>
          <w:sz w:val="22"/>
          <w:szCs w:val="22"/>
          <w:lang w:val="en-GB"/>
        </w:rPr>
        <w:t xml:space="preserve">no changes to </w:t>
      </w:r>
      <w:r w:rsidR="003127A4">
        <w:rPr>
          <w:rFonts w:ascii="Arial" w:hAnsi="Arial" w:cs="Arial"/>
          <w:sz w:val="22"/>
          <w:szCs w:val="22"/>
          <w:lang w:val="en-GB"/>
        </w:rPr>
        <w:t xml:space="preserve">the </w:t>
      </w:r>
      <w:r w:rsidR="00DC61CA">
        <w:rPr>
          <w:rFonts w:ascii="Arial" w:hAnsi="Arial" w:cs="Arial"/>
          <w:sz w:val="22"/>
          <w:szCs w:val="22"/>
          <w:lang w:val="en-GB"/>
        </w:rPr>
        <w:t xml:space="preserve">risks on the Faculty’s risk map </w:t>
      </w:r>
      <w:r w:rsidR="005D2FA5">
        <w:rPr>
          <w:rFonts w:ascii="Arial" w:hAnsi="Arial" w:cs="Arial"/>
          <w:sz w:val="22"/>
          <w:szCs w:val="22"/>
          <w:lang w:val="en-GB"/>
        </w:rPr>
        <w:t xml:space="preserve">since December 2014 </w:t>
      </w:r>
      <w:r w:rsidR="00DC61CA">
        <w:rPr>
          <w:rFonts w:ascii="Arial" w:hAnsi="Arial" w:cs="Arial"/>
          <w:sz w:val="22"/>
          <w:szCs w:val="22"/>
          <w:lang w:val="en-GB"/>
        </w:rPr>
        <w:t xml:space="preserve">and that </w:t>
      </w:r>
      <w:r w:rsidR="005D2FA5">
        <w:rPr>
          <w:rFonts w:ascii="Arial" w:hAnsi="Arial" w:cs="Arial"/>
          <w:sz w:val="22"/>
          <w:szCs w:val="22"/>
          <w:lang w:val="en-GB"/>
        </w:rPr>
        <w:t xml:space="preserve">they </w:t>
      </w:r>
      <w:r w:rsidR="00DC61CA">
        <w:rPr>
          <w:rFonts w:ascii="Arial" w:hAnsi="Arial" w:cs="Arial"/>
          <w:sz w:val="22"/>
          <w:szCs w:val="22"/>
          <w:lang w:val="en-GB"/>
        </w:rPr>
        <w:t>were clustered together as ‘rare’ and ‘possible’</w:t>
      </w:r>
      <w:r w:rsidR="00322EBD">
        <w:rPr>
          <w:rFonts w:ascii="Arial" w:hAnsi="Arial" w:cs="Arial"/>
          <w:sz w:val="22"/>
          <w:szCs w:val="22"/>
          <w:lang w:val="en-GB"/>
        </w:rPr>
        <w:t>, meaning it</w:t>
      </w:r>
      <w:r w:rsidR="00DC61CA">
        <w:rPr>
          <w:rFonts w:ascii="Arial" w:hAnsi="Arial" w:cs="Arial"/>
          <w:sz w:val="22"/>
          <w:szCs w:val="22"/>
          <w:lang w:val="en-GB"/>
        </w:rPr>
        <w:t xml:space="preserve"> was not clear which risks the Faculty was most concerned about. The Faculty clarified that </w:t>
      </w:r>
      <w:r w:rsidR="003B039B">
        <w:rPr>
          <w:rFonts w:ascii="Arial" w:hAnsi="Arial" w:cs="Arial"/>
          <w:sz w:val="22"/>
          <w:szCs w:val="22"/>
          <w:lang w:val="en-GB"/>
        </w:rPr>
        <w:t xml:space="preserve">serious </w:t>
      </w:r>
      <w:r w:rsidR="00DC61CA">
        <w:rPr>
          <w:rFonts w:ascii="Arial" w:hAnsi="Arial" w:cs="Arial"/>
          <w:sz w:val="22"/>
          <w:szCs w:val="22"/>
          <w:lang w:val="en-GB"/>
        </w:rPr>
        <w:t xml:space="preserve">health and safety </w:t>
      </w:r>
      <w:r w:rsidR="003B039B">
        <w:rPr>
          <w:rFonts w:ascii="Arial" w:hAnsi="Arial" w:cs="Arial"/>
          <w:sz w:val="22"/>
          <w:szCs w:val="22"/>
          <w:lang w:val="en-GB"/>
        </w:rPr>
        <w:t>matters</w:t>
      </w:r>
      <w:r w:rsidR="00DC61CA">
        <w:rPr>
          <w:rFonts w:ascii="Arial" w:hAnsi="Arial" w:cs="Arial"/>
          <w:sz w:val="22"/>
          <w:szCs w:val="22"/>
          <w:lang w:val="en-GB"/>
        </w:rPr>
        <w:t xml:space="preserve"> would be the biggest risk. </w:t>
      </w:r>
      <w:r w:rsidR="006D629B">
        <w:rPr>
          <w:rFonts w:ascii="Arial" w:hAnsi="Arial" w:cs="Arial"/>
          <w:sz w:val="22"/>
          <w:szCs w:val="22"/>
          <w:lang w:val="en-GB"/>
        </w:rPr>
        <w:t xml:space="preserve">Although there had been a number of concerns raised in the Schools’ SWOTs and in the APR meeting, the failure of </w:t>
      </w:r>
      <w:r w:rsidR="00DC61CA">
        <w:rPr>
          <w:rFonts w:ascii="Arial" w:hAnsi="Arial" w:cs="Arial"/>
          <w:sz w:val="22"/>
          <w:szCs w:val="22"/>
          <w:lang w:val="en-GB"/>
        </w:rPr>
        <w:t>MECD was classed as ‘rare’</w:t>
      </w:r>
      <w:r w:rsidR="006D629B">
        <w:rPr>
          <w:rFonts w:ascii="Arial" w:hAnsi="Arial" w:cs="Arial"/>
          <w:sz w:val="22"/>
          <w:szCs w:val="22"/>
          <w:lang w:val="en-GB"/>
        </w:rPr>
        <w:t xml:space="preserve"> because </w:t>
      </w:r>
      <w:r w:rsidR="009D7D9F">
        <w:rPr>
          <w:rFonts w:ascii="Arial" w:hAnsi="Arial" w:cs="Arial"/>
          <w:sz w:val="22"/>
          <w:szCs w:val="22"/>
          <w:lang w:val="en-GB"/>
        </w:rPr>
        <w:t xml:space="preserve">the Faculty felt that it had </w:t>
      </w:r>
      <w:r w:rsidR="003B039B">
        <w:rPr>
          <w:rFonts w:ascii="Arial" w:hAnsi="Arial" w:cs="Arial"/>
          <w:sz w:val="22"/>
          <w:szCs w:val="22"/>
          <w:lang w:val="en-GB"/>
        </w:rPr>
        <w:t>a number</w:t>
      </w:r>
      <w:r w:rsidR="009D7D9F">
        <w:rPr>
          <w:rFonts w:ascii="Arial" w:hAnsi="Arial" w:cs="Arial"/>
          <w:sz w:val="22"/>
          <w:szCs w:val="22"/>
          <w:lang w:val="en-GB"/>
        </w:rPr>
        <w:t xml:space="preserve"> of mitigating</w:t>
      </w:r>
      <w:r w:rsidR="00322EBD">
        <w:rPr>
          <w:rFonts w:ascii="Arial" w:hAnsi="Arial" w:cs="Arial"/>
          <w:sz w:val="22"/>
          <w:szCs w:val="22"/>
          <w:lang w:val="en-GB"/>
        </w:rPr>
        <w:t xml:space="preserve"> actions to underpin this risk. Some risks may need revisiting</w:t>
      </w:r>
      <w:r w:rsidR="003B039B">
        <w:rPr>
          <w:rFonts w:ascii="Arial" w:hAnsi="Arial" w:cs="Arial"/>
          <w:sz w:val="22"/>
          <w:szCs w:val="22"/>
          <w:lang w:val="en-GB"/>
        </w:rPr>
        <w:t xml:space="preserve"> as their likelihood and impact altered over time.</w:t>
      </w:r>
    </w:p>
    <w:p w:rsidR="00322EBD" w:rsidRDefault="00322EBD" w:rsidP="00315315">
      <w:pPr>
        <w:tabs>
          <w:tab w:val="left" w:pos="561"/>
        </w:tabs>
        <w:ind w:left="561" w:hanging="561"/>
        <w:rPr>
          <w:rFonts w:ascii="Arial" w:hAnsi="Arial" w:cs="Arial"/>
          <w:b/>
          <w:sz w:val="22"/>
          <w:szCs w:val="22"/>
          <w:lang w:val="en-GB"/>
        </w:rPr>
      </w:pPr>
      <w:r>
        <w:rPr>
          <w:rFonts w:ascii="Arial" w:hAnsi="Arial" w:cs="Arial"/>
          <w:sz w:val="22"/>
          <w:szCs w:val="22"/>
          <w:lang w:val="en-GB"/>
        </w:rPr>
        <w:tab/>
      </w:r>
      <w:r>
        <w:rPr>
          <w:rFonts w:ascii="Arial" w:hAnsi="Arial" w:cs="Arial"/>
          <w:b/>
          <w:sz w:val="22"/>
          <w:szCs w:val="22"/>
          <w:lang w:val="en-GB"/>
        </w:rPr>
        <w:t xml:space="preserve">ACTION: to revise the risk map to </w:t>
      </w:r>
      <w:r w:rsidR="005635C6">
        <w:rPr>
          <w:rFonts w:ascii="Arial" w:hAnsi="Arial" w:cs="Arial"/>
          <w:b/>
          <w:sz w:val="22"/>
          <w:szCs w:val="22"/>
          <w:lang w:val="en-GB"/>
        </w:rPr>
        <w:t>reflect concerns</w:t>
      </w:r>
      <w:r w:rsidR="00E7048E">
        <w:rPr>
          <w:rFonts w:ascii="Arial" w:hAnsi="Arial" w:cs="Arial"/>
          <w:b/>
          <w:sz w:val="22"/>
          <w:szCs w:val="22"/>
          <w:lang w:val="en-GB"/>
        </w:rPr>
        <w:t xml:space="preserve"> in the SWOTs</w:t>
      </w:r>
      <w:r>
        <w:rPr>
          <w:rFonts w:ascii="Arial" w:hAnsi="Arial" w:cs="Arial"/>
          <w:b/>
          <w:sz w:val="22"/>
          <w:szCs w:val="22"/>
          <w:lang w:val="en-GB"/>
        </w:rPr>
        <w:t>.</w:t>
      </w:r>
    </w:p>
    <w:p w:rsidR="0074078A" w:rsidRPr="00B80C73" w:rsidRDefault="0074078A" w:rsidP="00315315">
      <w:pPr>
        <w:tabs>
          <w:tab w:val="left" w:pos="561"/>
        </w:tabs>
        <w:ind w:left="561" w:hanging="561"/>
        <w:rPr>
          <w:rFonts w:ascii="Arial" w:hAnsi="Arial" w:cs="Arial"/>
          <w:b/>
          <w:sz w:val="20"/>
          <w:szCs w:val="20"/>
          <w:lang w:val="en-GB"/>
        </w:rPr>
      </w:pPr>
    </w:p>
    <w:p w:rsidR="0074078A" w:rsidRDefault="0074078A" w:rsidP="00315315">
      <w:pPr>
        <w:tabs>
          <w:tab w:val="left" w:pos="561"/>
        </w:tabs>
        <w:ind w:left="561" w:hanging="561"/>
        <w:rPr>
          <w:rFonts w:ascii="Arial" w:hAnsi="Arial" w:cs="Arial"/>
          <w:sz w:val="22"/>
          <w:szCs w:val="22"/>
          <w:lang w:val="en-GB"/>
        </w:rPr>
      </w:pPr>
      <w:r>
        <w:rPr>
          <w:rFonts w:ascii="Arial" w:hAnsi="Arial" w:cs="Arial"/>
          <w:b/>
          <w:sz w:val="22"/>
          <w:szCs w:val="22"/>
          <w:lang w:val="en-GB"/>
        </w:rPr>
        <w:tab/>
      </w:r>
      <w:r w:rsidRPr="0074078A">
        <w:rPr>
          <w:rFonts w:ascii="Arial" w:hAnsi="Arial" w:cs="Arial"/>
          <w:sz w:val="22"/>
          <w:szCs w:val="22"/>
          <w:lang w:val="en-GB"/>
        </w:rPr>
        <w:t xml:space="preserve">The Review Group </w:t>
      </w:r>
      <w:r>
        <w:rPr>
          <w:rFonts w:ascii="Arial" w:hAnsi="Arial" w:cs="Arial"/>
          <w:sz w:val="22"/>
          <w:szCs w:val="22"/>
          <w:lang w:val="en-GB"/>
        </w:rPr>
        <w:t xml:space="preserve">noted the non-compliant returns in relation to </w:t>
      </w:r>
      <w:r w:rsidR="003127A4">
        <w:rPr>
          <w:rFonts w:ascii="Arial" w:hAnsi="Arial" w:cs="Arial"/>
          <w:sz w:val="22"/>
          <w:szCs w:val="22"/>
          <w:lang w:val="en-GB"/>
        </w:rPr>
        <w:t xml:space="preserve">staff with access to </w:t>
      </w:r>
      <w:r>
        <w:rPr>
          <w:rFonts w:ascii="Arial" w:hAnsi="Arial" w:cs="Arial"/>
          <w:sz w:val="22"/>
          <w:szCs w:val="22"/>
          <w:lang w:val="en-GB"/>
        </w:rPr>
        <w:t xml:space="preserve">personal data. The Faculty </w:t>
      </w:r>
      <w:r w:rsidR="008E28C3">
        <w:rPr>
          <w:rFonts w:ascii="Arial" w:hAnsi="Arial" w:cs="Arial"/>
          <w:sz w:val="22"/>
          <w:szCs w:val="22"/>
          <w:lang w:val="en-GB"/>
        </w:rPr>
        <w:t>reported that the relevant data protection training course was compulsory for PSS staff but not academic staff</w:t>
      </w:r>
      <w:r w:rsidR="005635C6">
        <w:rPr>
          <w:rFonts w:ascii="Arial" w:hAnsi="Arial" w:cs="Arial"/>
          <w:sz w:val="22"/>
          <w:szCs w:val="22"/>
          <w:lang w:val="en-GB"/>
        </w:rPr>
        <w:t xml:space="preserve">, </w:t>
      </w:r>
      <w:r w:rsidR="004661B4">
        <w:rPr>
          <w:rFonts w:ascii="Arial" w:hAnsi="Arial" w:cs="Arial"/>
          <w:sz w:val="22"/>
          <w:szCs w:val="22"/>
          <w:lang w:val="en-GB"/>
        </w:rPr>
        <w:t>who</w:t>
      </w:r>
      <w:r w:rsidR="005635C6">
        <w:rPr>
          <w:rFonts w:ascii="Arial" w:hAnsi="Arial" w:cs="Arial"/>
          <w:sz w:val="22"/>
          <w:szCs w:val="22"/>
          <w:lang w:val="en-GB"/>
        </w:rPr>
        <w:t xml:space="preserve"> had different thresholds for defining data</w:t>
      </w:r>
      <w:r w:rsidR="008E28C3">
        <w:rPr>
          <w:rFonts w:ascii="Arial" w:hAnsi="Arial" w:cs="Arial"/>
          <w:sz w:val="22"/>
          <w:szCs w:val="22"/>
          <w:lang w:val="en-GB"/>
        </w:rPr>
        <w:t>. This situation was common to all Faculties, and the Review Group felt strongly that this situation should be rectified as soon as possible.</w:t>
      </w:r>
    </w:p>
    <w:p w:rsidR="008E28C3" w:rsidRPr="008E28C3" w:rsidRDefault="008E28C3" w:rsidP="00315315">
      <w:pPr>
        <w:tabs>
          <w:tab w:val="left" w:pos="561"/>
        </w:tabs>
        <w:ind w:left="561" w:hanging="561"/>
        <w:rPr>
          <w:rFonts w:ascii="Arial" w:hAnsi="Arial" w:cs="Arial"/>
          <w:b/>
          <w:sz w:val="22"/>
          <w:szCs w:val="22"/>
          <w:lang w:val="en-GB"/>
        </w:rPr>
      </w:pPr>
      <w:r>
        <w:rPr>
          <w:rFonts w:ascii="Arial" w:hAnsi="Arial" w:cs="Arial"/>
          <w:sz w:val="22"/>
          <w:szCs w:val="22"/>
          <w:lang w:val="en-GB"/>
        </w:rPr>
        <w:tab/>
      </w:r>
      <w:r>
        <w:rPr>
          <w:rFonts w:ascii="Arial" w:hAnsi="Arial" w:cs="Arial"/>
          <w:b/>
          <w:sz w:val="22"/>
          <w:szCs w:val="22"/>
          <w:lang w:val="en-GB"/>
        </w:rPr>
        <w:t xml:space="preserve">ACTION: to define </w:t>
      </w:r>
      <w:r w:rsidR="005635C6">
        <w:rPr>
          <w:rFonts w:ascii="Arial" w:hAnsi="Arial" w:cs="Arial"/>
          <w:b/>
          <w:sz w:val="22"/>
          <w:szCs w:val="22"/>
          <w:lang w:val="en-GB"/>
        </w:rPr>
        <w:t xml:space="preserve">clearly </w:t>
      </w:r>
      <w:r>
        <w:rPr>
          <w:rFonts w:ascii="Arial" w:hAnsi="Arial" w:cs="Arial"/>
          <w:b/>
          <w:sz w:val="22"/>
          <w:szCs w:val="22"/>
          <w:lang w:val="en-GB"/>
        </w:rPr>
        <w:t>which staff</w:t>
      </w:r>
      <w:r w:rsidR="003B6981">
        <w:rPr>
          <w:rFonts w:ascii="Arial" w:hAnsi="Arial" w:cs="Arial"/>
          <w:b/>
          <w:sz w:val="22"/>
          <w:szCs w:val="22"/>
          <w:lang w:val="en-GB"/>
        </w:rPr>
        <w:t xml:space="preserve"> (both academic and PSS)</w:t>
      </w:r>
      <w:r>
        <w:rPr>
          <w:rFonts w:ascii="Arial" w:hAnsi="Arial" w:cs="Arial"/>
          <w:b/>
          <w:sz w:val="22"/>
          <w:szCs w:val="22"/>
          <w:lang w:val="en-GB"/>
        </w:rPr>
        <w:t xml:space="preserve"> should undertake mandatory data protection training and instigate </w:t>
      </w:r>
      <w:r w:rsidR="003B6981">
        <w:rPr>
          <w:rFonts w:ascii="Arial" w:hAnsi="Arial" w:cs="Arial"/>
          <w:b/>
          <w:sz w:val="22"/>
          <w:szCs w:val="22"/>
          <w:lang w:val="en-GB"/>
        </w:rPr>
        <w:t xml:space="preserve">catch-up training </w:t>
      </w:r>
      <w:r>
        <w:rPr>
          <w:rFonts w:ascii="Arial" w:hAnsi="Arial" w:cs="Arial"/>
          <w:b/>
          <w:sz w:val="22"/>
          <w:szCs w:val="22"/>
          <w:lang w:val="en-GB"/>
        </w:rPr>
        <w:t xml:space="preserve">at the earliest opportunity. </w:t>
      </w:r>
    </w:p>
    <w:p w:rsidR="00DE4996" w:rsidRPr="00B80C73" w:rsidRDefault="00CA3214" w:rsidP="00DE4996">
      <w:pPr>
        <w:tabs>
          <w:tab w:val="left" w:pos="561"/>
        </w:tabs>
        <w:ind w:left="561" w:hanging="561"/>
        <w:rPr>
          <w:rFonts w:ascii="Arial" w:hAnsi="Arial" w:cs="Arial"/>
          <w:bCs/>
          <w:sz w:val="20"/>
          <w:szCs w:val="20"/>
          <w:lang w:val="en-GB"/>
        </w:rPr>
      </w:pPr>
      <w:r w:rsidRPr="00DD081B">
        <w:rPr>
          <w:rFonts w:ascii="Arial" w:hAnsi="Arial" w:cs="Arial"/>
          <w:b/>
          <w:sz w:val="22"/>
          <w:szCs w:val="22"/>
          <w:lang w:val="en-GB"/>
        </w:rPr>
        <w:t xml:space="preserve"> </w:t>
      </w:r>
      <w:r w:rsidR="00DE4996" w:rsidRPr="00DD081B">
        <w:rPr>
          <w:rFonts w:ascii="Arial" w:hAnsi="Arial" w:cs="Arial"/>
          <w:bCs/>
          <w:sz w:val="22"/>
          <w:szCs w:val="22"/>
          <w:lang w:val="en-GB"/>
        </w:rPr>
        <w:tab/>
      </w:r>
    </w:p>
    <w:p w:rsidR="00DE4996" w:rsidRDefault="00DE4996" w:rsidP="00DE4996">
      <w:pPr>
        <w:tabs>
          <w:tab w:val="left" w:pos="561"/>
        </w:tabs>
        <w:ind w:left="561" w:hanging="561"/>
        <w:rPr>
          <w:rFonts w:ascii="Arial" w:hAnsi="Arial" w:cs="Arial"/>
          <w:b/>
          <w:sz w:val="22"/>
          <w:szCs w:val="22"/>
          <w:lang w:val="en-GB"/>
        </w:rPr>
      </w:pPr>
      <w:r w:rsidRPr="00DD081B">
        <w:rPr>
          <w:rFonts w:ascii="Arial" w:hAnsi="Arial" w:cs="Arial"/>
          <w:b/>
          <w:sz w:val="22"/>
          <w:szCs w:val="22"/>
          <w:lang w:val="en-GB"/>
        </w:rPr>
        <w:t>1</w:t>
      </w:r>
      <w:r w:rsidR="00997A0E" w:rsidRPr="00DD081B">
        <w:rPr>
          <w:rFonts w:ascii="Arial" w:hAnsi="Arial" w:cs="Arial"/>
          <w:b/>
          <w:sz w:val="22"/>
          <w:szCs w:val="22"/>
          <w:lang w:val="en-GB"/>
        </w:rPr>
        <w:t>1</w:t>
      </w:r>
      <w:r w:rsidRPr="00DD081B">
        <w:rPr>
          <w:rFonts w:ascii="Arial" w:hAnsi="Arial" w:cs="Arial"/>
          <w:b/>
          <w:sz w:val="22"/>
          <w:szCs w:val="22"/>
          <w:lang w:val="en-GB"/>
        </w:rPr>
        <w:t>.</w:t>
      </w:r>
      <w:r w:rsidRPr="00DD081B">
        <w:rPr>
          <w:rFonts w:ascii="Arial" w:hAnsi="Arial" w:cs="Arial"/>
          <w:b/>
          <w:sz w:val="22"/>
          <w:szCs w:val="22"/>
          <w:lang w:val="en-GB"/>
        </w:rPr>
        <w:tab/>
      </w:r>
      <w:r w:rsidR="00B95276">
        <w:rPr>
          <w:rFonts w:ascii="Arial" w:hAnsi="Arial" w:cs="Arial"/>
          <w:b/>
          <w:sz w:val="22"/>
          <w:szCs w:val="22"/>
          <w:lang w:val="en-GB"/>
        </w:rPr>
        <w:t>Other issues</w:t>
      </w:r>
    </w:p>
    <w:p w:rsidR="00B95276" w:rsidRPr="00B80C73" w:rsidRDefault="00B95276" w:rsidP="00DE4996">
      <w:pPr>
        <w:tabs>
          <w:tab w:val="left" w:pos="561"/>
        </w:tabs>
        <w:ind w:left="561" w:hanging="561"/>
        <w:rPr>
          <w:rFonts w:ascii="Arial" w:hAnsi="Arial" w:cs="Arial"/>
          <w:b/>
          <w:sz w:val="20"/>
          <w:szCs w:val="20"/>
          <w:lang w:val="en-GB"/>
        </w:rPr>
      </w:pPr>
    </w:p>
    <w:p w:rsidR="00E7048E" w:rsidRPr="0098060F" w:rsidRDefault="00B95276" w:rsidP="00AD4E29">
      <w:pPr>
        <w:tabs>
          <w:tab w:val="left" w:pos="561"/>
        </w:tabs>
        <w:ind w:left="561" w:hanging="561"/>
        <w:rPr>
          <w:rFonts w:ascii="Arial" w:hAnsi="Arial" w:cs="Arial"/>
          <w:sz w:val="22"/>
          <w:szCs w:val="22"/>
          <w:lang w:val="en-GB"/>
        </w:rPr>
      </w:pPr>
      <w:r>
        <w:rPr>
          <w:rFonts w:ascii="Arial" w:hAnsi="Arial" w:cs="Arial"/>
          <w:b/>
          <w:sz w:val="22"/>
          <w:szCs w:val="22"/>
          <w:lang w:val="en-GB"/>
        </w:rPr>
        <w:tab/>
      </w:r>
      <w:r w:rsidR="005D2FA5">
        <w:rPr>
          <w:rFonts w:ascii="Arial" w:hAnsi="Arial" w:cs="Arial"/>
          <w:sz w:val="22"/>
          <w:szCs w:val="22"/>
          <w:lang w:val="en-GB"/>
        </w:rPr>
        <w:t>A number of</w:t>
      </w:r>
      <w:r>
        <w:rPr>
          <w:rFonts w:ascii="Arial" w:hAnsi="Arial" w:cs="Arial"/>
          <w:sz w:val="22"/>
          <w:szCs w:val="22"/>
          <w:lang w:val="en-GB"/>
        </w:rPr>
        <w:t xml:space="preserve"> issues </w:t>
      </w:r>
      <w:r w:rsidR="005D2FA5">
        <w:rPr>
          <w:rFonts w:ascii="Arial" w:hAnsi="Arial" w:cs="Arial"/>
          <w:sz w:val="22"/>
          <w:szCs w:val="22"/>
          <w:lang w:val="en-GB"/>
        </w:rPr>
        <w:t xml:space="preserve">and opportunities </w:t>
      </w:r>
      <w:r>
        <w:rPr>
          <w:rFonts w:ascii="Arial" w:hAnsi="Arial" w:cs="Arial"/>
          <w:sz w:val="22"/>
          <w:szCs w:val="22"/>
          <w:lang w:val="en-GB"/>
        </w:rPr>
        <w:t>were raised as worthy of note</w:t>
      </w:r>
      <w:r w:rsidR="005D2FA5">
        <w:rPr>
          <w:rFonts w:ascii="Arial" w:hAnsi="Arial" w:cs="Arial"/>
          <w:sz w:val="22"/>
          <w:szCs w:val="22"/>
          <w:lang w:val="en-GB"/>
        </w:rPr>
        <w:t>.</w:t>
      </w:r>
      <w:r w:rsidR="00AD4E29">
        <w:rPr>
          <w:rFonts w:ascii="Arial" w:hAnsi="Arial" w:cs="Arial"/>
          <w:sz w:val="22"/>
          <w:szCs w:val="22"/>
          <w:lang w:val="en-GB"/>
        </w:rPr>
        <w:t xml:space="preserve"> </w:t>
      </w:r>
      <w:r w:rsidR="005D2FA5">
        <w:rPr>
          <w:rFonts w:ascii="Arial" w:hAnsi="Arial" w:cs="Arial"/>
          <w:sz w:val="22"/>
          <w:szCs w:val="22"/>
          <w:lang w:val="en-GB"/>
        </w:rPr>
        <w:t>These included the need for the Faculty to identify and explore areas of potential income growth, e.g. distance learning and philanthropy</w:t>
      </w:r>
      <w:r w:rsidR="000E5032">
        <w:rPr>
          <w:rFonts w:ascii="Arial" w:hAnsi="Arial" w:cs="Arial"/>
          <w:sz w:val="22"/>
          <w:szCs w:val="22"/>
          <w:lang w:val="en-GB"/>
        </w:rPr>
        <w:t>. There were</w:t>
      </w:r>
      <w:r w:rsidR="005D2FA5">
        <w:rPr>
          <w:rFonts w:ascii="Arial" w:hAnsi="Arial" w:cs="Arial"/>
          <w:sz w:val="22"/>
          <w:szCs w:val="22"/>
          <w:lang w:val="en-GB"/>
        </w:rPr>
        <w:t xml:space="preserve"> opportunities in relation to the Faculty restructure</w:t>
      </w:r>
      <w:r w:rsidR="000E5032">
        <w:rPr>
          <w:rFonts w:ascii="Arial" w:hAnsi="Arial" w:cs="Arial"/>
          <w:sz w:val="22"/>
          <w:szCs w:val="22"/>
          <w:lang w:val="en-GB"/>
        </w:rPr>
        <w:t>, including</w:t>
      </w:r>
      <w:r w:rsidR="005D2FA5" w:rsidRPr="005D2FA5">
        <w:rPr>
          <w:rFonts w:ascii="Arial" w:hAnsi="Arial" w:cs="Arial"/>
          <w:sz w:val="22"/>
          <w:szCs w:val="22"/>
          <w:lang w:val="en-GB"/>
        </w:rPr>
        <w:t xml:space="preserve"> </w:t>
      </w:r>
      <w:r w:rsidR="005D2FA5">
        <w:rPr>
          <w:rFonts w:ascii="Arial" w:hAnsi="Arial" w:cs="Arial"/>
          <w:sz w:val="22"/>
          <w:szCs w:val="22"/>
          <w:lang w:val="en-GB"/>
        </w:rPr>
        <w:t>the opportunity to integrate EAES and environmental biology and address major inter-disciplinary research opportunities</w:t>
      </w:r>
      <w:r w:rsidR="000E5032">
        <w:rPr>
          <w:rFonts w:ascii="Arial" w:hAnsi="Arial" w:cs="Arial"/>
          <w:sz w:val="22"/>
          <w:szCs w:val="22"/>
          <w:lang w:val="en-GB"/>
        </w:rPr>
        <w:t xml:space="preserve">, including in the longer term the possible </w:t>
      </w:r>
      <w:r w:rsidR="005D2FA5">
        <w:rPr>
          <w:rFonts w:ascii="Arial" w:hAnsi="Arial" w:cs="Arial"/>
          <w:sz w:val="22"/>
          <w:szCs w:val="22"/>
          <w:lang w:val="en-GB"/>
        </w:rPr>
        <w:t>opportunity of creating an Institute of Environment</w:t>
      </w:r>
      <w:r w:rsidR="00AD4E29">
        <w:rPr>
          <w:rFonts w:ascii="Arial" w:hAnsi="Arial" w:cs="Arial"/>
          <w:sz w:val="22"/>
          <w:szCs w:val="22"/>
          <w:lang w:val="en-GB"/>
        </w:rPr>
        <w:t>.</w:t>
      </w:r>
      <w:r w:rsidR="00AD4E29" w:rsidRPr="005D2FA5">
        <w:rPr>
          <w:rFonts w:ascii="Arial" w:hAnsi="Arial" w:cs="Arial"/>
          <w:sz w:val="22"/>
          <w:szCs w:val="22"/>
          <w:lang w:val="en-GB"/>
        </w:rPr>
        <w:t xml:space="preserve"> </w:t>
      </w:r>
      <w:r w:rsidR="000E5032">
        <w:rPr>
          <w:rFonts w:ascii="Arial" w:hAnsi="Arial" w:cs="Arial"/>
          <w:sz w:val="22"/>
          <w:szCs w:val="22"/>
          <w:lang w:val="en-GB"/>
        </w:rPr>
        <w:t>It was also impo</w:t>
      </w:r>
      <w:r w:rsidR="00AD4E29">
        <w:rPr>
          <w:rFonts w:ascii="Arial" w:hAnsi="Arial" w:cs="Arial"/>
          <w:sz w:val="22"/>
          <w:szCs w:val="22"/>
          <w:lang w:val="en-GB"/>
        </w:rPr>
        <w:t>r</w:t>
      </w:r>
      <w:r w:rsidR="000E5032">
        <w:rPr>
          <w:rFonts w:ascii="Arial" w:hAnsi="Arial" w:cs="Arial"/>
          <w:sz w:val="22"/>
          <w:szCs w:val="22"/>
          <w:lang w:val="en-GB"/>
        </w:rPr>
        <w:t xml:space="preserve">tant to </w:t>
      </w:r>
      <w:r w:rsidR="005D2FA5">
        <w:rPr>
          <w:rFonts w:ascii="Arial" w:hAnsi="Arial" w:cs="Arial"/>
          <w:sz w:val="22"/>
          <w:szCs w:val="22"/>
          <w:lang w:val="en-GB"/>
        </w:rPr>
        <w:t>make optimal use of the research beacons</w:t>
      </w:r>
      <w:r w:rsidR="000E5032">
        <w:rPr>
          <w:rFonts w:ascii="Arial" w:hAnsi="Arial" w:cs="Arial"/>
          <w:sz w:val="22"/>
          <w:szCs w:val="22"/>
          <w:lang w:val="en-GB"/>
        </w:rPr>
        <w:t xml:space="preserve"> and to maximise</w:t>
      </w:r>
      <w:r w:rsidR="005D2FA5">
        <w:rPr>
          <w:rFonts w:ascii="Arial" w:hAnsi="Arial" w:cs="Arial"/>
          <w:sz w:val="22"/>
          <w:szCs w:val="22"/>
          <w:lang w:val="en-GB"/>
        </w:rPr>
        <w:t xml:space="preserve"> opportunities relating to Jodrell Bank, the Northern Powerhouse and </w:t>
      </w:r>
      <w:r w:rsidR="00F86F0F">
        <w:rPr>
          <w:rFonts w:ascii="Arial" w:hAnsi="Arial" w:cs="Arial"/>
          <w:sz w:val="22"/>
          <w:szCs w:val="22"/>
          <w:lang w:val="en-GB"/>
        </w:rPr>
        <w:t>d</w:t>
      </w:r>
      <w:r w:rsidR="003F1E26">
        <w:rPr>
          <w:rFonts w:ascii="Arial" w:hAnsi="Arial" w:cs="Arial"/>
          <w:sz w:val="22"/>
          <w:szCs w:val="22"/>
          <w:lang w:val="en-GB"/>
        </w:rPr>
        <w:t>evolution</w:t>
      </w:r>
      <w:r w:rsidR="00AD4E29">
        <w:rPr>
          <w:rFonts w:ascii="Arial" w:hAnsi="Arial" w:cs="Arial"/>
          <w:sz w:val="22"/>
          <w:szCs w:val="22"/>
          <w:lang w:val="en-GB"/>
        </w:rPr>
        <w:t>.</w:t>
      </w:r>
    </w:p>
    <w:p w:rsidR="00DE4996" w:rsidRPr="008F4708" w:rsidRDefault="00B95276" w:rsidP="00DE4996">
      <w:pPr>
        <w:tabs>
          <w:tab w:val="left" w:pos="561"/>
        </w:tabs>
        <w:ind w:left="561" w:hanging="561"/>
        <w:rPr>
          <w:rFonts w:ascii="Arial" w:hAnsi="Arial" w:cs="Arial"/>
          <w:b/>
          <w:sz w:val="22"/>
          <w:szCs w:val="22"/>
          <w:lang w:val="en-GB"/>
        </w:rPr>
      </w:pPr>
      <w:r>
        <w:rPr>
          <w:rFonts w:ascii="Arial" w:hAnsi="Arial" w:cs="Arial"/>
          <w:sz w:val="22"/>
          <w:szCs w:val="22"/>
          <w:lang w:val="en-GB"/>
        </w:rPr>
        <w:tab/>
      </w:r>
      <w:r w:rsidR="008F4708" w:rsidRPr="008F4708">
        <w:rPr>
          <w:rFonts w:ascii="Arial" w:hAnsi="Arial" w:cs="Arial"/>
          <w:b/>
          <w:sz w:val="22"/>
          <w:szCs w:val="22"/>
          <w:lang w:val="en-GB"/>
        </w:rPr>
        <w:t>ACTION: to seek and expl</w:t>
      </w:r>
      <w:r w:rsidR="00F86F0F">
        <w:rPr>
          <w:rFonts w:ascii="Arial" w:hAnsi="Arial" w:cs="Arial"/>
          <w:b/>
          <w:sz w:val="22"/>
          <w:szCs w:val="22"/>
          <w:lang w:val="en-GB"/>
        </w:rPr>
        <w:t>oit opportunities arising from d</w:t>
      </w:r>
      <w:r w:rsidR="008F4708" w:rsidRPr="008F4708">
        <w:rPr>
          <w:rFonts w:ascii="Arial" w:hAnsi="Arial" w:cs="Arial"/>
          <w:b/>
          <w:sz w:val="22"/>
          <w:szCs w:val="22"/>
          <w:lang w:val="en-GB"/>
        </w:rPr>
        <w:t>evo</w:t>
      </w:r>
      <w:r w:rsidR="003F1E26">
        <w:rPr>
          <w:rFonts w:ascii="Arial" w:hAnsi="Arial" w:cs="Arial"/>
          <w:b/>
          <w:sz w:val="22"/>
          <w:szCs w:val="22"/>
          <w:lang w:val="en-GB"/>
        </w:rPr>
        <w:t>lution</w:t>
      </w:r>
      <w:r w:rsidR="008F4708" w:rsidRPr="008F4708">
        <w:rPr>
          <w:rFonts w:ascii="Arial" w:hAnsi="Arial" w:cs="Arial"/>
          <w:b/>
          <w:sz w:val="22"/>
          <w:szCs w:val="22"/>
          <w:lang w:val="en-GB"/>
        </w:rPr>
        <w:t xml:space="preserve"> and the Northern Powerhouse.</w:t>
      </w:r>
    </w:p>
    <w:p w:rsidR="008F4708" w:rsidRPr="00B80C73" w:rsidRDefault="008F4708" w:rsidP="00DE4996">
      <w:pPr>
        <w:tabs>
          <w:tab w:val="left" w:pos="561"/>
        </w:tabs>
        <w:ind w:left="561" w:hanging="561"/>
        <w:rPr>
          <w:rFonts w:ascii="Arial" w:hAnsi="Arial" w:cs="Arial"/>
          <w:sz w:val="22"/>
          <w:szCs w:val="22"/>
          <w:lang w:val="en-GB"/>
        </w:rPr>
      </w:pPr>
    </w:p>
    <w:p w:rsidR="00DE4996" w:rsidRPr="00DD081B" w:rsidRDefault="00DE4996" w:rsidP="00AD4E29">
      <w:pPr>
        <w:tabs>
          <w:tab w:val="left" w:pos="567"/>
        </w:tabs>
        <w:rPr>
          <w:rFonts w:ascii="Arial" w:hAnsi="Arial" w:cs="Arial"/>
          <w:b/>
          <w:sz w:val="22"/>
          <w:szCs w:val="22"/>
          <w:lang w:val="en-GB"/>
        </w:rPr>
      </w:pPr>
      <w:r w:rsidRPr="00DD081B">
        <w:rPr>
          <w:rFonts w:ascii="Arial" w:hAnsi="Arial" w:cs="Arial"/>
          <w:b/>
          <w:sz w:val="22"/>
          <w:szCs w:val="22"/>
          <w:lang w:val="en-GB"/>
        </w:rPr>
        <w:t>1</w:t>
      </w:r>
      <w:r w:rsidR="00997A0E" w:rsidRPr="00DD081B">
        <w:rPr>
          <w:rFonts w:ascii="Arial" w:hAnsi="Arial" w:cs="Arial"/>
          <w:b/>
          <w:sz w:val="22"/>
          <w:szCs w:val="22"/>
          <w:lang w:val="en-GB"/>
        </w:rPr>
        <w:t>2</w:t>
      </w:r>
      <w:r w:rsidR="00AD4E29">
        <w:rPr>
          <w:rFonts w:ascii="Arial" w:hAnsi="Arial" w:cs="Arial"/>
          <w:b/>
          <w:sz w:val="22"/>
          <w:szCs w:val="22"/>
          <w:lang w:val="en-GB"/>
        </w:rPr>
        <w:t xml:space="preserve">. </w:t>
      </w:r>
      <w:r w:rsidR="00AD4E29">
        <w:rPr>
          <w:rFonts w:ascii="Arial" w:hAnsi="Arial" w:cs="Arial"/>
          <w:b/>
          <w:sz w:val="22"/>
          <w:szCs w:val="22"/>
          <w:lang w:val="en-GB"/>
        </w:rPr>
        <w:tab/>
      </w:r>
      <w:r w:rsidRPr="00DD081B">
        <w:rPr>
          <w:rFonts w:ascii="Arial" w:hAnsi="Arial" w:cs="Arial"/>
          <w:b/>
          <w:sz w:val="22"/>
          <w:szCs w:val="22"/>
          <w:lang w:val="en-GB"/>
        </w:rPr>
        <w:t xml:space="preserve">Summary </w:t>
      </w:r>
    </w:p>
    <w:p w:rsidR="00DE4996" w:rsidRPr="00B80C73" w:rsidRDefault="00DE4996" w:rsidP="00DE4996">
      <w:pPr>
        <w:rPr>
          <w:rFonts w:ascii="Arial" w:hAnsi="Arial" w:cs="Arial"/>
          <w:sz w:val="20"/>
          <w:szCs w:val="20"/>
          <w:lang w:val="en-GB"/>
        </w:rPr>
      </w:pPr>
    </w:p>
    <w:p w:rsidR="00315315" w:rsidRDefault="00DE4996" w:rsidP="00315315">
      <w:pPr>
        <w:tabs>
          <w:tab w:val="left" w:pos="561"/>
        </w:tabs>
        <w:ind w:left="561" w:hanging="561"/>
        <w:rPr>
          <w:rFonts w:ascii="Arial" w:hAnsi="Arial" w:cs="Arial"/>
          <w:sz w:val="22"/>
          <w:szCs w:val="22"/>
          <w:lang w:val="en-GB"/>
        </w:rPr>
      </w:pPr>
      <w:r w:rsidRPr="00DD081B">
        <w:rPr>
          <w:rFonts w:ascii="Arial" w:hAnsi="Arial" w:cs="Arial"/>
          <w:sz w:val="22"/>
          <w:szCs w:val="22"/>
          <w:lang w:val="en-GB"/>
        </w:rPr>
        <w:tab/>
      </w:r>
      <w:r w:rsidR="00C05C18">
        <w:rPr>
          <w:rFonts w:ascii="Arial" w:hAnsi="Arial" w:cs="Arial"/>
          <w:sz w:val="22"/>
          <w:szCs w:val="22"/>
          <w:lang w:val="en-GB"/>
        </w:rPr>
        <w:t xml:space="preserve">The Review Group thanked the Faculty for its good performance and willingness to deal with challenges. The Faculty’s breadth and scope was recognised but a key issue for the Faculty to consider was focus and </w:t>
      </w:r>
      <w:r w:rsidR="0064522B">
        <w:rPr>
          <w:rFonts w:ascii="Arial" w:hAnsi="Arial" w:cs="Arial"/>
          <w:sz w:val="22"/>
          <w:szCs w:val="22"/>
          <w:lang w:val="en-GB"/>
        </w:rPr>
        <w:t>discipline</w:t>
      </w:r>
      <w:r w:rsidR="00C05C18">
        <w:rPr>
          <w:rFonts w:ascii="Arial" w:hAnsi="Arial" w:cs="Arial"/>
          <w:sz w:val="22"/>
          <w:szCs w:val="22"/>
          <w:lang w:val="en-GB"/>
        </w:rPr>
        <w:t xml:space="preserve"> and</w:t>
      </w:r>
      <w:r w:rsidR="005635C6">
        <w:rPr>
          <w:rFonts w:ascii="Arial" w:hAnsi="Arial" w:cs="Arial"/>
          <w:sz w:val="22"/>
          <w:szCs w:val="22"/>
          <w:lang w:val="en-GB"/>
        </w:rPr>
        <w:t>,</w:t>
      </w:r>
      <w:r w:rsidR="00C05C18">
        <w:rPr>
          <w:rFonts w:ascii="Arial" w:hAnsi="Arial" w:cs="Arial"/>
          <w:sz w:val="22"/>
          <w:szCs w:val="22"/>
          <w:lang w:val="en-GB"/>
        </w:rPr>
        <w:t xml:space="preserve"> </w:t>
      </w:r>
      <w:r w:rsidR="005635C6">
        <w:rPr>
          <w:rFonts w:ascii="Arial" w:hAnsi="Arial" w:cs="Arial"/>
          <w:sz w:val="22"/>
          <w:szCs w:val="22"/>
          <w:lang w:val="en-GB"/>
        </w:rPr>
        <w:t xml:space="preserve">given limited time and resources, </w:t>
      </w:r>
      <w:r w:rsidR="0037368E">
        <w:rPr>
          <w:rFonts w:ascii="Arial" w:hAnsi="Arial" w:cs="Arial"/>
          <w:sz w:val="22"/>
          <w:szCs w:val="22"/>
          <w:lang w:val="en-GB"/>
        </w:rPr>
        <w:t xml:space="preserve">identifying those </w:t>
      </w:r>
      <w:r w:rsidR="004661B4">
        <w:rPr>
          <w:rFonts w:ascii="Arial" w:hAnsi="Arial" w:cs="Arial"/>
          <w:sz w:val="22"/>
          <w:szCs w:val="22"/>
          <w:lang w:val="en-GB"/>
        </w:rPr>
        <w:t xml:space="preserve">activities </w:t>
      </w:r>
      <w:r w:rsidR="0037368E">
        <w:rPr>
          <w:rFonts w:ascii="Arial" w:hAnsi="Arial" w:cs="Arial"/>
          <w:sz w:val="22"/>
          <w:szCs w:val="22"/>
          <w:lang w:val="en-GB"/>
        </w:rPr>
        <w:t xml:space="preserve">that it should </w:t>
      </w:r>
      <w:r w:rsidR="004661B4">
        <w:rPr>
          <w:rFonts w:ascii="Arial" w:hAnsi="Arial" w:cs="Arial"/>
          <w:sz w:val="22"/>
          <w:szCs w:val="22"/>
          <w:lang w:val="en-GB"/>
        </w:rPr>
        <w:t>cease</w:t>
      </w:r>
      <w:r w:rsidR="00C05C18">
        <w:rPr>
          <w:rFonts w:ascii="Arial" w:hAnsi="Arial" w:cs="Arial"/>
          <w:sz w:val="22"/>
          <w:szCs w:val="22"/>
          <w:lang w:val="en-GB"/>
        </w:rPr>
        <w:t xml:space="preserve">. It needed to lift </w:t>
      </w:r>
      <w:r w:rsidR="0037368E">
        <w:rPr>
          <w:rFonts w:ascii="Arial" w:hAnsi="Arial" w:cs="Arial"/>
          <w:sz w:val="22"/>
          <w:szCs w:val="22"/>
          <w:lang w:val="en-GB"/>
        </w:rPr>
        <w:t xml:space="preserve">both </w:t>
      </w:r>
      <w:r w:rsidR="00C05C18">
        <w:rPr>
          <w:rFonts w:ascii="Arial" w:hAnsi="Arial" w:cs="Arial"/>
          <w:sz w:val="22"/>
          <w:szCs w:val="22"/>
          <w:lang w:val="en-GB"/>
        </w:rPr>
        <w:t>the ambition of staff and the expectations of Schools.</w:t>
      </w:r>
    </w:p>
    <w:p w:rsidR="00B95276" w:rsidRPr="00B80C73" w:rsidRDefault="00B95276" w:rsidP="00315315">
      <w:pPr>
        <w:tabs>
          <w:tab w:val="left" w:pos="561"/>
        </w:tabs>
        <w:ind w:left="561" w:hanging="561"/>
        <w:rPr>
          <w:rFonts w:ascii="Arial" w:hAnsi="Arial" w:cs="Arial"/>
          <w:sz w:val="20"/>
          <w:szCs w:val="20"/>
          <w:lang w:val="en-GB"/>
        </w:rPr>
      </w:pPr>
    </w:p>
    <w:p w:rsidR="00B95276" w:rsidRDefault="00B95276" w:rsidP="00315315">
      <w:pPr>
        <w:tabs>
          <w:tab w:val="left" w:pos="561"/>
        </w:tabs>
        <w:ind w:left="561" w:hanging="561"/>
        <w:rPr>
          <w:rFonts w:ascii="Arial" w:hAnsi="Arial" w:cs="Arial"/>
          <w:sz w:val="22"/>
          <w:szCs w:val="22"/>
          <w:lang w:val="en-GB"/>
        </w:rPr>
      </w:pPr>
      <w:r>
        <w:rPr>
          <w:rFonts w:ascii="Arial" w:hAnsi="Arial" w:cs="Arial"/>
          <w:sz w:val="22"/>
          <w:szCs w:val="22"/>
          <w:lang w:val="en-GB"/>
        </w:rPr>
        <w:tab/>
        <w:t xml:space="preserve">The Faculty wished to note its thanks to Professor Stephen Flint who was taking on the University role of Associate Vice-President (Internationalisation), and Ian Bradley who was moving to </w:t>
      </w:r>
      <w:r w:rsidR="005D680C">
        <w:rPr>
          <w:rFonts w:ascii="Arial" w:hAnsi="Arial" w:cs="Arial"/>
          <w:sz w:val="22"/>
          <w:szCs w:val="22"/>
          <w:lang w:val="en-GB"/>
        </w:rPr>
        <w:t xml:space="preserve">the </w:t>
      </w:r>
      <w:r w:rsidR="00990A4F">
        <w:rPr>
          <w:rFonts w:ascii="Arial" w:hAnsi="Arial" w:cs="Arial"/>
          <w:sz w:val="22"/>
          <w:szCs w:val="22"/>
          <w:lang w:val="en-GB"/>
        </w:rPr>
        <w:t xml:space="preserve">Division of </w:t>
      </w:r>
      <w:r>
        <w:rPr>
          <w:rFonts w:ascii="Arial" w:hAnsi="Arial" w:cs="Arial"/>
          <w:sz w:val="22"/>
          <w:szCs w:val="22"/>
          <w:lang w:val="en-GB"/>
        </w:rPr>
        <w:t xml:space="preserve">Student </w:t>
      </w:r>
      <w:r w:rsidR="00990A4F">
        <w:rPr>
          <w:rFonts w:ascii="Arial" w:hAnsi="Arial" w:cs="Arial"/>
          <w:sz w:val="22"/>
          <w:szCs w:val="22"/>
          <w:lang w:val="en-GB"/>
        </w:rPr>
        <w:t xml:space="preserve">Life. </w:t>
      </w:r>
    </w:p>
    <w:p w:rsidR="004B4A0F" w:rsidRPr="00B80C73" w:rsidRDefault="004B4A0F" w:rsidP="00315315">
      <w:pPr>
        <w:tabs>
          <w:tab w:val="left" w:pos="561"/>
        </w:tabs>
        <w:ind w:left="561" w:hanging="561"/>
        <w:rPr>
          <w:rFonts w:ascii="Arial" w:hAnsi="Arial" w:cs="Arial"/>
          <w:sz w:val="20"/>
          <w:szCs w:val="20"/>
          <w:lang w:val="en-GB"/>
        </w:rPr>
      </w:pPr>
    </w:p>
    <w:p w:rsidR="004B4A0F" w:rsidRDefault="004B4A0F" w:rsidP="004B4A0F">
      <w:pPr>
        <w:widowControl w:val="0"/>
        <w:tabs>
          <w:tab w:val="left" w:pos="561"/>
        </w:tabs>
        <w:autoSpaceDE w:val="0"/>
        <w:autoSpaceDN w:val="0"/>
        <w:adjustRightInd w:val="0"/>
        <w:rPr>
          <w:rFonts w:ascii="Arial" w:hAnsi="Arial" w:cs="Arial"/>
          <w:sz w:val="22"/>
          <w:szCs w:val="22"/>
        </w:rPr>
      </w:pPr>
      <w:r w:rsidRPr="004B4A0F">
        <w:rPr>
          <w:rFonts w:ascii="Arial" w:hAnsi="Arial" w:cs="Arial"/>
          <w:sz w:val="22"/>
          <w:szCs w:val="22"/>
          <w:lang w:val="en-GB"/>
        </w:rPr>
        <w:tab/>
      </w:r>
      <w:r w:rsidRPr="004B4A0F">
        <w:rPr>
          <w:rFonts w:ascii="Arial" w:hAnsi="Arial" w:cs="Arial"/>
          <w:sz w:val="22"/>
          <w:szCs w:val="22"/>
        </w:rPr>
        <w:t>The Faculty had identified the following key operational priorities for 2015/16:</w:t>
      </w:r>
    </w:p>
    <w:p w:rsidR="008F4708" w:rsidRPr="00B80C73" w:rsidRDefault="008F4708" w:rsidP="004B4A0F">
      <w:pPr>
        <w:widowControl w:val="0"/>
        <w:tabs>
          <w:tab w:val="left" w:pos="561"/>
        </w:tabs>
        <w:autoSpaceDE w:val="0"/>
        <w:autoSpaceDN w:val="0"/>
        <w:adjustRightInd w:val="0"/>
        <w:rPr>
          <w:rFonts w:ascii="Arial" w:hAnsi="Arial" w:cs="Arial"/>
          <w:sz w:val="20"/>
          <w:szCs w:val="20"/>
        </w:rPr>
      </w:pPr>
    </w:p>
    <w:p w:rsidR="004B4A0F" w:rsidRPr="004B4A0F" w:rsidRDefault="004B4A0F" w:rsidP="004B4A0F">
      <w:pPr>
        <w:pStyle w:val="ListParagraph"/>
        <w:numPr>
          <w:ilvl w:val="0"/>
          <w:numId w:val="41"/>
        </w:numPr>
        <w:autoSpaceDE w:val="0"/>
        <w:autoSpaceDN w:val="0"/>
        <w:adjustRightInd w:val="0"/>
        <w:spacing w:after="3"/>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t>increase research funding;</w:t>
      </w:r>
    </w:p>
    <w:p w:rsidR="004B4A0F" w:rsidRPr="004B4A0F" w:rsidRDefault="004B4A0F" w:rsidP="004B4A0F">
      <w:pPr>
        <w:pStyle w:val="ListParagraph"/>
        <w:numPr>
          <w:ilvl w:val="0"/>
          <w:numId w:val="41"/>
        </w:numPr>
        <w:autoSpaceDE w:val="0"/>
        <w:autoSpaceDN w:val="0"/>
        <w:adjustRightInd w:val="0"/>
        <w:spacing w:after="3"/>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t>r</w:t>
      </w:r>
      <w:r w:rsidRPr="004B4A0F">
        <w:rPr>
          <w:rFonts w:ascii="Arial" w:hAnsi="Arial" w:cs="Arial"/>
          <w:color w:val="000000"/>
          <w:sz w:val="22"/>
          <w:szCs w:val="22"/>
          <w:lang w:val="en-GB" w:eastAsia="zh-CN"/>
        </w:rPr>
        <w:t>ecruiting more of the best PGR students in the world and increasing PGR</w:t>
      </w:r>
      <w:r>
        <w:rPr>
          <w:rFonts w:ascii="Arial" w:hAnsi="Arial" w:cs="Arial"/>
          <w:color w:val="000000"/>
          <w:sz w:val="22"/>
          <w:szCs w:val="22"/>
          <w:lang w:val="en-GB" w:eastAsia="zh-CN"/>
        </w:rPr>
        <w:t xml:space="preserve"> submission rates (and numbers);</w:t>
      </w:r>
    </w:p>
    <w:p w:rsidR="004B4A0F" w:rsidRPr="004B4A0F" w:rsidRDefault="004B4A0F" w:rsidP="004B4A0F">
      <w:pPr>
        <w:pStyle w:val="ListParagraph"/>
        <w:numPr>
          <w:ilvl w:val="0"/>
          <w:numId w:val="41"/>
        </w:numPr>
        <w:autoSpaceDE w:val="0"/>
        <w:autoSpaceDN w:val="0"/>
        <w:adjustRightInd w:val="0"/>
        <w:spacing w:after="3"/>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lastRenderedPageBreak/>
        <w:t>a</w:t>
      </w:r>
      <w:r w:rsidRPr="004B4A0F">
        <w:rPr>
          <w:rFonts w:ascii="Arial" w:hAnsi="Arial" w:cs="Arial"/>
          <w:color w:val="000000"/>
          <w:sz w:val="22"/>
          <w:szCs w:val="22"/>
          <w:lang w:val="en-GB" w:eastAsia="zh-CN"/>
        </w:rPr>
        <w:t>chieving high</w:t>
      </w:r>
      <w:r>
        <w:rPr>
          <w:rFonts w:ascii="Arial" w:hAnsi="Arial" w:cs="Arial"/>
          <w:color w:val="000000"/>
          <w:sz w:val="22"/>
          <w:szCs w:val="22"/>
          <w:lang w:val="en-GB" w:eastAsia="zh-CN"/>
        </w:rPr>
        <w:t xml:space="preserve"> levels of student satisfaction;</w:t>
      </w:r>
    </w:p>
    <w:p w:rsidR="004B4A0F" w:rsidRPr="004B4A0F" w:rsidRDefault="004B4A0F" w:rsidP="004B4A0F">
      <w:pPr>
        <w:pStyle w:val="ListParagraph"/>
        <w:numPr>
          <w:ilvl w:val="0"/>
          <w:numId w:val="41"/>
        </w:numPr>
        <w:autoSpaceDE w:val="0"/>
        <w:autoSpaceDN w:val="0"/>
        <w:adjustRightInd w:val="0"/>
        <w:spacing w:after="3"/>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t>p</w:t>
      </w:r>
      <w:r w:rsidRPr="004B4A0F">
        <w:rPr>
          <w:rFonts w:ascii="Arial" w:hAnsi="Arial" w:cs="Arial"/>
          <w:color w:val="000000"/>
          <w:sz w:val="22"/>
          <w:szCs w:val="22"/>
          <w:lang w:val="en-GB" w:eastAsia="zh-CN"/>
        </w:rPr>
        <w:t>roviding staff with the infrastructure/support they need to impr</w:t>
      </w:r>
      <w:r>
        <w:rPr>
          <w:rFonts w:ascii="Arial" w:hAnsi="Arial" w:cs="Arial"/>
          <w:color w:val="000000"/>
          <w:sz w:val="22"/>
          <w:szCs w:val="22"/>
          <w:lang w:val="en-GB" w:eastAsia="zh-CN"/>
        </w:rPr>
        <w:t>ove their teaching and research;</w:t>
      </w:r>
    </w:p>
    <w:p w:rsidR="004B4A0F" w:rsidRPr="004B4A0F" w:rsidRDefault="004B4A0F" w:rsidP="004B4A0F">
      <w:pPr>
        <w:pStyle w:val="ListParagraph"/>
        <w:numPr>
          <w:ilvl w:val="0"/>
          <w:numId w:val="41"/>
        </w:numPr>
        <w:autoSpaceDE w:val="0"/>
        <w:autoSpaceDN w:val="0"/>
        <w:adjustRightInd w:val="0"/>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t>d</w:t>
      </w:r>
      <w:r w:rsidRPr="004B4A0F">
        <w:rPr>
          <w:rFonts w:ascii="Arial" w:hAnsi="Arial" w:cs="Arial"/>
          <w:color w:val="000000"/>
          <w:sz w:val="22"/>
          <w:szCs w:val="22"/>
          <w:lang w:val="en-GB" w:eastAsia="zh-CN"/>
        </w:rPr>
        <w:t>eveloping MECD and interacting with other part</w:t>
      </w:r>
      <w:r>
        <w:rPr>
          <w:rFonts w:ascii="Arial" w:hAnsi="Arial" w:cs="Arial"/>
          <w:color w:val="000000"/>
          <w:sz w:val="22"/>
          <w:szCs w:val="22"/>
          <w:lang w:val="en-GB" w:eastAsia="zh-CN"/>
        </w:rPr>
        <w:t>s to the benefit of all Schools;</w:t>
      </w:r>
    </w:p>
    <w:p w:rsidR="004B4A0F" w:rsidRPr="004B4A0F" w:rsidRDefault="004B4A0F" w:rsidP="004B4A0F">
      <w:pPr>
        <w:pStyle w:val="ListParagraph"/>
        <w:numPr>
          <w:ilvl w:val="0"/>
          <w:numId w:val="41"/>
        </w:numPr>
        <w:autoSpaceDE w:val="0"/>
        <w:autoSpaceDN w:val="0"/>
        <w:adjustRightInd w:val="0"/>
        <w:ind w:left="851" w:hanging="284"/>
        <w:rPr>
          <w:rFonts w:ascii="Arial" w:hAnsi="Arial" w:cs="Arial"/>
          <w:color w:val="000000"/>
          <w:sz w:val="22"/>
          <w:szCs w:val="22"/>
          <w:lang w:val="en-GB" w:eastAsia="zh-CN"/>
        </w:rPr>
      </w:pPr>
      <w:r>
        <w:rPr>
          <w:rFonts w:ascii="Arial" w:hAnsi="Arial" w:cs="Arial"/>
          <w:color w:val="000000"/>
          <w:sz w:val="22"/>
          <w:szCs w:val="22"/>
          <w:lang w:val="en-GB" w:eastAsia="zh-CN"/>
        </w:rPr>
        <w:t>d</w:t>
      </w:r>
      <w:r w:rsidRPr="004B4A0F">
        <w:rPr>
          <w:rFonts w:ascii="Arial" w:hAnsi="Arial" w:cs="Arial"/>
          <w:color w:val="000000"/>
          <w:sz w:val="22"/>
          <w:szCs w:val="22"/>
          <w:lang w:val="en-GB" w:eastAsia="zh-CN"/>
        </w:rPr>
        <w:t>eveloping an overarching interdisciplinary strategy across the Faculty to improve perfo</w:t>
      </w:r>
      <w:r>
        <w:rPr>
          <w:rFonts w:ascii="Arial" w:hAnsi="Arial" w:cs="Arial"/>
          <w:color w:val="000000"/>
          <w:sz w:val="22"/>
          <w:szCs w:val="22"/>
          <w:lang w:val="en-GB" w:eastAsia="zh-CN"/>
        </w:rPr>
        <w:t>rmance in research and teaching.</w:t>
      </w:r>
    </w:p>
    <w:p w:rsidR="004B4A0F" w:rsidRPr="008F4708" w:rsidRDefault="004B4A0F" w:rsidP="004B4A0F">
      <w:pPr>
        <w:widowControl w:val="0"/>
        <w:tabs>
          <w:tab w:val="left" w:pos="561"/>
        </w:tabs>
        <w:autoSpaceDE w:val="0"/>
        <w:autoSpaceDN w:val="0"/>
        <w:adjustRightInd w:val="0"/>
        <w:ind w:left="561"/>
        <w:rPr>
          <w:rFonts w:ascii="Arial" w:hAnsi="Arial" w:cs="Arial"/>
          <w:b/>
          <w:bCs/>
          <w:sz w:val="22"/>
          <w:szCs w:val="22"/>
        </w:rPr>
      </w:pPr>
    </w:p>
    <w:p w:rsidR="004B4A0F" w:rsidRPr="008F4708" w:rsidRDefault="004B4A0F" w:rsidP="004B4A0F">
      <w:pPr>
        <w:widowControl w:val="0"/>
        <w:tabs>
          <w:tab w:val="left" w:pos="561"/>
        </w:tabs>
        <w:autoSpaceDE w:val="0"/>
        <w:autoSpaceDN w:val="0"/>
        <w:adjustRightInd w:val="0"/>
        <w:ind w:left="561"/>
        <w:rPr>
          <w:rFonts w:ascii="Arial" w:hAnsi="Arial" w:cs="Arial"/>
          <w:bCs/>
          <w:sz w:val="22"/>
          <w:szCs w:val="22"/>
        </w:rPr>
      </w:pPr>
      <w:r w:rsidRPr="008F4708">
        <w:rPr>
          <w:rFonts w:ascii="Arial" w:hAnsi="Arial" w:cs="Arial"/>
          <w:bCs/>
          <w:sz w:val="22"/>
          <w:szCs w:val="22"/>
        </w:rPr>
        <w:t xml:space="preserve">In addition the Review Group identified the following </w:t>
      </w:r>
      <w:r w:rsidR="00F4388E">
        <w:rPr>
          <w:rFonts w:ascii="Arial" w:hAnsi="Arial" w:cs="Arial"/>
          <w:bCs/>
          <w:sz w:val="22"/>
          <w:szCs w:val="22"/>
        </w:rPr>
        <w:t>actions.</w:t>
      </w:r>
    </w:p>
    <w:p w:rsidR="004B4A0F" w:rsidRPr="00DD081B" w:rsidRDefault="004B4A0F" w:rsidP="00315315">
      <w:pPr>
        <w:tabs>
          <w:tab w:val="left" w:pos="561"/>
        </w:tabs>
        <w:ind w:left="561" w:hanging="561"/>
        <w:rPr>
          <w:rFonts w:ascii="Arial" w:hAnsi="Arial" w:cs="Arial"/>
          <w:sz w:val="22"/>
          <w:szCs w:val="22"/>
          <w:lang w:val="en-GB"/>
        </w:rPr>
      </w:pPr>
    </w:p>
    <w:p w:rsidR="00315315" w:rsidRDefault="000E5032" w:rsidP="00315315">
      <w:pPr>
        <w:tabs>
          <w:tab w:val="left" w:pos="561"/>
        </w:tabs>
        <w:ind w:left="561" w:hanging="561"/>
        <w:rPr>
          <w:rFonts w:ascii="Arial" w:hAnsi="Arial" w:cs="Arial"/>
          <w:sz w:val="22"/>
          <w:szCs w:val="22"/>
          <w:lang w:val="en-GB"/>
        </w:rPr>
      </w:pPr>
      <w:r>
        <w:rPr>
          <w:rFonts w:ascii="Arial" w:hAnsi="Arial" w:cs="Arial"/>
          <w:sz w:val="22"/>
          <w:szCs w:val="22"/>
          <w:lang w:val="en-GB"/>
        </w:rPr>
        <w:tab/>
        <w:t>Financial Issues</w:t>
      </w:r>
    </w:p>
    <w:p w:rsidR="000E5032" w:rsidRDefault="000E5032" w:rsidP="00315315">
      <w:pPr>
        <w:tabs>
          <w:tab w:val="left" w:pos="561"/>
        </w:tabs>
        <w:ind w:left="561" w:hanging="561"/>
        <w:rPr>
          <w:rFonts w:ascii="Arial" w:hAnsi="Arial" w:cs="Arial"/>
          <w:sz w:val="22"/>
          <w:szCs w:val="22"/>
          <w:lang w:val="en-GB"/>
        </w:rPr>
      </w:pPr>
    </w:p>
    <w:p w:rsidR="000E5032" w:rsidRPr="00AD4E29" w:rsidRDefault="009B02EC" w:rsidP="00AD4E29">
      <w:pPr>
        <w:pStyle w:val="ListParagraph"/>
        <w:numPr>
          <w:ilvl w:val="0"/>
          <w:numId w:val="44"/>
        </w:numPr>
        <w:tabs>
          <w:tab w:val="left" w:pos="561"/>
        </w:tabs>
        <w:rPr>
          <w:rFonts w:ascii="Arial" w:hAnsi="Arial" w:cs="Arial"/>
          <w:sz w:val="22"/>
          <w:szCs w:val="22"/>
          <w:lang w:val="en-GB"/>
        </w:rPr>
      </w:pPr>
      <w:r>
        <w:rPr>
          <w:rFonts w:ascii="Arial" w:hAnsi="Arial" w:cs="Arial"/>
          <w:sz w:val="22"/>
          <w:szCs w:val="22"/>
          <w:lang w:val="en-GB"/>
        </w:rPr>
        <w:t>(i) T</w:t>
      </w:r>
      <w:r w:rsidR="000E5032" w:rsidRPr="00AD4E29">
        <w:rPr>
          <w:rFonts w:ascii="Arial" w:hAnsi="Arial" w:cs="Arial"/>
          <w:sz w:val="22"/>
          <w:szCs w:val="22"/>
          <w:lang w:val="en-GB"/>
        </w:rPr>
        <w:t>o ensure that the contribution target for 2015/16 is met; and (ii) to improve recovery rates by ensuring that research grants and contracts are costed and priced effectively in line with the University’s pricing guidance and the Faculty’s PI/Co-I recovery guidance.</w:t>
      </w:r>
    </w:p>
    <w:p w:rsidR="00315315" w:rsidRDefault="00315315" w:rsidP="00315315">
      <w:pPr>
        <w:tabs>
          <w:tab w:val="left" w:pos="561"/>
        </w:tabs>
        <w:ind w:left="561" w:hanging="561"/>
        <w:rPr>
          <w:rFonts w:ascii="Arial" w:hAnsi="Arial" w:cs="Arial"/>
          <w:sz w:val="22"/>
          <w:szCs w:val="18"/>
          <w:lang w:val="en-GB"/>
        </w:rPr>
      </w:pPr>
    </w:p>
    <w:p w:rsidR="00315315" w:rsidRDefault="000E5032" w:rsidP="00315315">
      <w:pPr>
        <w:tabs>
          <w:tab w:val="left" w:pos="561"/>
        </w:tabs>
        <w:ind w:left="561" w:hanging="561"/>
        <w:rPr>
          <w:rFonts w:ascii="Arial" w:hAnsi="Arial" w:cs="Arial"/>
          <w:sz w:val="22"/>
          <w:szCs w:val="18"/>
          <w:lang w:val="en-GB"/>
        </w:rPr>
      </w:pPr>
      <w:r>
        <w:rPr>
          <w:rFonts w:ascii="Arial" w:hAnsi="Arial" w:cs="Arial"/>
          <w:sz w:val="22"/>
          <w:szCs w:val="18"/>
          <w:lang w:val="en-GB"/>
        </w:rPr>
        <w:tab/>
        <w:t>World Class Research</w:t>
      </w:r>
    </w:p>
    <w:p w:rsidR="000E5032" w:rsidRDefault="000E5032" w:rsidP="00315315">
      <w:pPr>
        <w:tabs>
          <w:tab w:val="left" w:pos="561"/>
        </w:tabs>
        <w:ind w:left="561" w:hanging="561"/>
        <w:rPr>
          <w:rFonts w:ascii="Arial" w:hAnsi="Arial" w:cs="Arial"/>
          <w:sz w:val="22"/>
          <w:szCs w:val="18"/>
          <w:lang w:val="en-GB"/>
        </w:rPr>
      </w:pPr>
    </w:p>
    <w:p w:rsidR="000E5032" w:rsidRPr="00AD4E29" w:rsidRDefault="000E5032" w:rsidP="00AD4E29">
      <w:pPr>
        <w:pStyle w:val="ListParagraph"/>
        <w:numPr>
          <w:ilvl w:val="0"/>
          <w:numId w:val="44"/>
        </w:numPr>
        <w:tabs>
          <w:tab w:val="left" w:pos="561"/>
        </w:tabs>
        <w:rPr>
          <w:rFonts w:ascii="Arial" w:hAnsi="Arial" w:cs="Arial"/>
          <w:sz w:val="22"/>
          <w:szCs w:val="18"/>
          <w:lang w:val="en-GB"/>
        </w:rPr>
      </w:pPr>
      <w:r w:rsidRPr="00AD4E29">
        <w:rPr>
          <w:rFonts w:ascii="Arial" w:hAnsi="Arial" w:cs="Arial"/>
          <w:sz w:val="22"/>
          <w:szCs w:val="18"/>
          <w:lang w:val="en-GB"/>
        </w:rPr>
        <w:t>Research quality: Schools to continue to implement their publication strategies in order to improve citations and reduce the number of zero citations.</w:t>
      </w:r>
    </w:p>
    <w:p w:rsidR="000E5032" w:rsidRPr="00AD4E29" w:rsidRDefault="000E5032" w:rsidP="00AD4E29">
      <w:pPr>
        <w:pStyle w:val="ListParagraph"/>
        <w:numPr>
          <w:ilvl w:val="0"/>
          <w:numId w:val="44"/>
        </w:numPr>
        <w:tabs>
          <w:tab w:val="left" w:pos="561"/>
        </w:tabs>
        <w:rPr>
          <w:rFonts w:ascii="Arial" w:hAnsi="Arial" w:cs="Arial"/>
          <w:sz w:val="22"/>
          <w:szCs w:val="18"/>
          <w:lang w:val="en-GB"/>
        </w:rPr>
      </w:pPr>
      <w:r w:rsidRPr="00AD4E29">
        <w:rPr>
          <w:rFonts w:ascii="Arial" w:hAnsi="Arial" w:cs="Arial"/>
          <w:sz w:val="22"/>
          <w:szCs w:val="18"/>
          <w:lang w:val="en-GB"/>
        </w:rPr>
        <w:t>Research income: to review space utilisation and the culture of ‘owning’ lab space, to encourage sharing and enable growth.</w:t>
      </w:r>
    </w:p>
    <w:p w:rsidR="000E5032" w:rsidRPr="00AD4E29" w:rsidRDefault="000E5032" w:rsidP="00AD4E29">
      <w:pPr>
        <w:pStyle w:val="ListParagraph"/>
        <w:numPr>
          <w:ilvl w:val="0"/>
          <w:numId w:val="44"/>
        </w:numPr>
        <w:tabs>
          <w:tab w:val="left" w:pos="561"/>
        </w:tabs>
        <w:rPr>
          <w:rFonts w:ascii="Arial" w:hAnsi="Arial" w:cs="Arial"/>
          <w:sz w:val="22"/>
          <w:szCs w:val="18"/>
          <w:lang w:val="en-GB"/>
        </w:rPr>
      </w:pPr>
      <w:r w:rsidRPr="00AD4E29">
        <w:rPr>
          <w:rFonts w:ascii="Arial" w:hAnsi="Arial" w:cs="Arial"/>
          <w:sz w:val="22"/>
          <w:szCs w:val="18"/>
          <w:lang w:val="en-GB"/>
        </w:rPr>
        <w:t xml:space="preserve">Postgraduate research: </w:t>
      </w:r>
      <w:r w:rsidR="00841384">
        <w:rPr>
          <w:rFonts w:ascii="Arial" w:hAnsi="Arial" w:cs="Arial"/>
          <w:sz w:val="22"/>
          <w:szCs w:val="18"/>
          <w:lang w:val="en-GB"/>
        </w:rPr>
        <w:t xml:space="preserve">(i) </w:t>
      </w:r>
      <w:r w:rsidRPr="00AD4E29">
        <w:rPr>
          <w:rFonts w:ascii="Arial" w:hAnsi="Arial" w:cs="Arial"/>
          <w:sz w:val="22"/>
          <w:szCs w:val="18"/>
          <w:lang w:val="en-GB"/>
        </w:rPr>
        <w:t>to analyse the PRES results at School level to find out reasons for lower levels of satisfaction compared to the University average, and to report on actions taken next year</w:t>
      </w:r>
      <w:r w:rsidR="00841384">
        <w:rPr>
          <w:rFonts w:ascii="Arial" w:hAnsi="Arial" w:cs="Arial"/>
          <w:sz w:val="22"/>
          <w:szCs w:val="18"/>
          <w:lang w:val="en-GB"/>
        </w:rPr>
        <w:t>; and (ii) to continue to increase the number of PGR students.</w:t>
      </w:r>
    </w:p>
    <w:p w:rsidR="00315315" w:rsidRDefault="00315315" w:rsidP="00315315">
      <w:pPr>
        <w:tabs>
          <w:tab w:val="left" w:pos="561"/>
        </w:tabs>
        <w:ind w:left="561" w:hanging="561"/>
        <w:rPr>
          <w:rFonts w:ascii="Arial" w:hAnsi="Arial" w:cs="Arial"/>
          <w:sz w:val="22"/>
          <w:szCs w:val="18"/>
          <w:lang w:val="en-GB"/>
        </w:rPr>
      </w:pPr>
    </w:p>
    <w:p w:rsidR="00C644B8" w:rsidRDefault="00C644B8" w:rsidP="00315315">
      <w:pPr>
        <w:tabs>
          <w:tab w:val="left" w:pos="561"/>
        </w:tabs>
        <w:ind w:left="561" w:hanging="561"/>
        <w:rPr>
          <w:rFonts w:ascii="Arial" w:hAnsi="Arial" w:cs="Arial"/>
          <w:sz w:val="22"/>
          <w:szCs w:val="22"/>
        </w:rPr>
      </w:pPr>
      <w:r w:rsidRPr="00066E75">
        <w:rPr>
          <w:rFonts w:ascii="Arial" w:hAnsi="Arial" w:cs="Arial"/>
          <w:sz w:val="22"/>
          <w:szCs w:val="22"/>
        </w:rPr>
        <w:t xml:space="preserve"> </w:t>
      </w:r>
      <w:r w:rsidR="000E5032">
        <w:rPr>
          <w:rFonts w:ascii="Arial" w:hAnsi="Arial" w:cs="Arial"/>
          <w:sz w:val="22"/>
          <w:szCs w:val="22"/>
        </w:rPr>
        <w:tab/>
        <w:t>Outstanding Learning and Student Experience</w:t>
      </w:r>
    </w:p>
    <w:p w:rsidR="000E5032" w:rsidRDefault="000E5032" w:rsidP="00315315">
      <w:pPr>
        <w:tabs>
          <w:tab w:val="left" w:pos="561"/>
        </w:tabs>
        <w:ind w:left="561" w:hanging="561"/>
        <w:rPr>
          <w:rFonts w:ascii="Arial" w:hAnsi="Arial" w:cs="Arial"/>
          <w:sz w:val="22"/>
          <w:szCs w:val="22"/>
        </w:rPr>
      </w:pPr>
    </w:p>
    <w:p w:rsidR="000E5032" w:rsidRPr="00AD4E29" w:rsidRDefault="000E5032" w:rsidP="00AD4E29">
      <w:pPr>
        <w:pStyle w:val="ListParagraph"/>
        <w:numPr>
          <w:ilvl w:val="0"/>
          <w:numId w:val="44"/>
        </w:numPr>
        <w:tabs>
          <w:tab w:val="left" w:pos="561"/>
        </w:tabs>
        <w:rPr>
          <w:rFonts w:ascii="Arial" w:hAnsi="Arial" w:cs="Arial"/>
          <w:sz w:val="22"/>
          <w:szCs w:val="22"/>
        </w:rPr>
      </w:pPr>
      <w:r w:rsidRPr="00AD4E29">
        <w:rPr>
          <w:rFonts w:ascii="Arial" w:hAnsi="Arial" w:cs="Arial"/>
          <w:sz w:val="22"/>
          <w:szCs w:val="22"/>
        </w:rPr>
        <w:t>Degree attainment: to implement action to address marking disparities with comparator institutions.</w:t>
      </w:r>
    </w:p>
    <w:p w:rsidR="000E5032" w:rsidRPr="00AD4E29" w:rsidRDefault="002B79D4" w:rsidP="00632771">
      <w:pPr>
        <w:pStyle w:val="ListParagraph"/>
        <w:numPr>
          <w:ilvl w:val="0"/>
          <w:numId w:val="44"/>
        </w:numPr>
        <w:tabs>
          <w:tab w:val="left" w:pos="561"/>
        </w:tabs>
        <w:rPr>
          <w:rFonts w:ascii="Arial" w:hAnsi="Arial" w:cs="Arial"/>
          <w:sz w:val="22"/>
          <w:szCs w:val="22"/>
        </w:rPr>
      </w:pPr>
      <w:r>
        <w:rPr>
          <w:rFonts w:ascii="Arial" w:hAnsi="Arial" w:cs="Arial"/>
          <w:sz w:val="22"/>
          <w:szCs w:val="22"/>
        </w:rPr>
        <w:t>T</w:t>
      </w:r>
      <w:r w:rsidR="000E5032" w:rsidRPr="00AD4E29">
        <w:rPr>
          <w:rFonts w:ascii="Arial" w:hAnsi="Arial" w:cs="Arial"/>
          <w:sz w:val="22"/>
          <w:szCs w:val="22"/>
        </w:rPr>
        <w:t xml:space="preserve">o analyse data and benchmark performance </w:t>
      </w:r>
      <w:r>
        <w:rPr>
          <w:rFonts w:ascii="Arial" w:hAnsi="Arial" w:cs="Arial"/>
          <w:sz w:val="22"/>
          <w:szCs w:val="22"/>
        </w:rPr>
        <w:t xml:space="preserve">against competitors </w:t>
      </w:r>
      <w:r w:rsidR="000E5032" w:rsidRPr="00AD4E29">
        <w:rPr>
          <w:rFonts w:ascii="Arial" w:hAnsi="Arial" w:cs="Arial"/>
          <w:sz w:val="22"/>
          <w:szCs w:val="22"/>
        </w:rPr>
        <w:t xml:space="preserve">relating to </w:t>
      </w:r>
      <w:r w:rsidR="00FD7EF0">
        <w:rPr>
          <w:rFonts w:ascii="Arial" w:hAnsi="Arial" w:cs="Arial"/>
          <w:sz w:val="22"/>
          <w:szCs w:val="22"/>
        </w:rPr>
        <w:t xml:space="preserve">(a) </w:t>
      </w:r>
      <w:r w:rsidR="000E5032" w:rsidRPr="00AD4E29">
        <w:rPr>
          <w:rFonts w:ascii="Arial" w:hAnsi="Arial" w:cs="Arial"/>
          <w:sz w:val="22"/>
          <w:szCs w:val="22"/>
        </w:rPr>
        <w:t xml:space="preserve">teaching quality and assessment and feedback in the NSS, </w:t>
      </w:r>
      <w:r w:rsidR="00FD7EF0">
        <w:rPr>
          <w:rFonts w:ascii="Arial" w:hAnsi="Arial" w:cs="Arial"/>
          <w:sz w:val="22"/>
          <w:szCs w:val="22"/>
        </w:rPr>
        <w:t xml:space="preserve">(b) </w:t>
      </w:r>
      <w:r w:rsidR="000E5032" w:rsidRPr="00AD4E29">
        <w:rPr>
          <w:rFonts w:ascii="Arial" w:hAnsi="Arial" w:cs="Arial"/>
          <w:sz w:val="22"/>
          <w:szCs w:val="22"/>
        </w:rPr>
        <w:t xml:space="preserve">the links between entry standards, degree attainment and employability, and </w:t>
      </w:r>
      <w:r w:rsidR="00FD7EF0">
        <w:rPr>
          <w:rFonts w:ascii="Arial" w:hAnsi="Arial" w:cs="Arial"/>
          <w:sz w:val="22"/>
          <w:szCs w:val="22"/>
        </w:rPr>
        <w:t xml:space="preserve">(c) </w:t>
      </w:r>
      <w:r w:rsidR="000E5032" w:rsidRPr="00AD4E29">
        <w:rPr>
          <w:rFonts w:ascii="Arial" w:hAnsi="Arial" w:cs="Arial"/>
          <w:sz w:val="22"/>
          <w:szCs w:val="22"/>
        </w:rPr>
        <w:t>retention</w:t>
      </w:r>
      <w:r w:rsidR="00FD7EF0">
        <w:rPr>
          <w:rFonts w:ascii="Arial" w:hAnsi="Arial" w:cs="Arial"/>
          <w:sz w:val="22"/>
          <w:szCs w:val="22"/>
        </w:rPr>
        <w:t>,</w:t>
      </w:r>
      <w:r w:rsidR="000E5032" w:rsidRPr="00AD4E29">
        <w:rPr>
          <w:rFonts w:ascii="Arial" w:hAnsi="Arial" w:cs="Arial"/>
          <w:sz w:val="22"/>
          <w:szCs w:val="22"/>
        </w:rPr>
        <w:t xml:space="preserve"> with a view to identifying and implementing actions as appropriate to address discrepancies</w:t>
      </w:r>
      <w:r w:rsidR="00FD7EF0">
        <w:rPr>
          <w:rFonts w:ascii="Arial" w:hAnsi="Arial" w:cs="Arial"/>
          <w:sz w:val="22"/>
          <w:szCs w:val="22"/>
        </w:rPr>
        <w:t xml:space="preserve"> with comparators</w:t>
      </w:r>
      <w:r w:rsidR="00632771">
        <w:rPr>
          <w:rFonts w:ascii="Arial" w:hAnsi="Arial" w:cs="Arial"/>
          <w:sz w:val="22"/>
          <w:szCs w:val="22"/>
        </w:rPr>
        <w:t xml:space="preserve"> </w:t>
      </w:r>
      <w:r w:rsidR="00632771" w:rsidRPr="00632771">
        <w:rPr>
          <w:rFonts w:ascii="Arial" w:hAnsi="Arial" w:cs="Arial"/>
          <w:sz w:val="22"/>
          <w:szCs w:val="22"/>
        </w:rPr>
        <w:t xml:space="preserve">and to address </w:t>
      </w:r>
      <w:r w:rsidR="00970435">
        <w:rPr>
          <w:rFonts w:ascii="Arial" w:hAnsi="Arial" w:cs="Arial"/>
          <w:sz w:val="22"/>
          <w:szCs w:val="22"/>
        </w:rPr>
        <w:t xml:space="preserve">any </w:t>
      </w:r>
      <w:r w:rsidR="00632771" w:rsidRPr="00632771">
        <w:rPr>
          <w:rFonts w:ascii="Arial" w:hAnsi="Arial" w:cs="Arial"/>
          <w:sz w:val="22"/>
          <w:szCs w:val="22"/>
        </w:rPr>
        <w:t>significant differential attainment</w:t>
      </w:r>
      <w:r w:rsidR="000E5032" w:rsidRPr="00AD4E29">
        <w:rPr>
          <w:rFonts w:ascii="Arial" w:hAnsi="Arial" w:cs="Arial"/>
          <w:sz w:val="22"/>
          <w:szCs w:val="22"/>
        </w:rPr>
        <w:t>.</w:t>
      </w:r>
    </w:p>
    <w:p w:rsidR="000E5032" w:rsidRDefault="000E5032" w:rsidP="00315315">
      <w:pPr>
        <w:tabs>
          <w:tab w:val="left" w:pos="561"/>
        </w:tabs>
        <w:ind w:left="561" w:hanging="561"/>
        <w:rPr>
          <w:rFonts w:ascii="Arial" w:hAnsi="Arial" w:cs="Arial"/>
          <w:sz w:val="22"/>
          <w:szCs w:val="22"/>
        </w:rPr>
      </w:pPr>
    </w:p>
    <w:p w:rsidR="000E5032" w:rsidRDefault="000E5032" w:rsidP="00315315">
      <w:pPr>
        <w:tabs>
          <w:tab w:val="left" w:pos="561"/>
        </w:tabs>
        <w:ind w:left="561" w:hanging="561"/>
        <w:rPr>
          <w:rFonts w:ascii="Arial" w:hAnsi="Arial" w:cs="Arial"/>
          <w:sz w:val="22"/>
          <w:szCs w:val="22"/>
        </w:rPr>
      </w:pPr>
      <w:r>
        <w:rPr>
          <w:rFonts w:ascii="Arial" w:hAnsi="Arial" w:cs="Arial"/>
          <w:sz w:val="22"/>
          <w:szCs w:val="22"/>
        </w:rPr>
        <w:tab/>
        <w:t>Social Responsibility</w:t>
      </w:r>
    </w:p>
    <w:p w:rsidR="000E5032" w:rsidRDefault="000E5032" w:rsidP="00315315">
      <w:pPr>
        <w:tabs>
          <w:tab w:val="left" w:pos="561"/>
        </w:tabs>
        <w:ind w:left="561" w:hanging="561"/>
        <w:rPr>
          <w:rFonts w:ascii="Arial" w:hAnsi="Arial" w:cs="Arial"/>
          <w:sz w:val="22"/>
          <w:szCs w:val="22"/>
        </w:rPr>
      </w:pPr>
    </w:p>
    <w:p w:rsidR="000E5032" w:rsidRPr="00AD4E29" w:rsidRDefault="000E5032" w:rsidP="00AD4E29">
      <w:pPr>
        <w:pStyle w:val="ListParagraph"/>
        <w:numPr>
          <w:ilvl w:val="0"/>
          <w:numId w:val="44"/>
        </w:numPr>
        <w:tabs>
          <w:tab w:val="left" w:pos="561"/>
        </w:tabs>
        <w:rPr>
          <w:rFonts w:ascii="Arial" w:hAnsi="Arial" w:cs="Arial"/>
          <w:sz w:val="22"/>
          <w:szCs w:val="22"/>
        </w:rPr>
      </w:pPr>
      <w:r w:rsidRPr="00AD4E29">
        <w:rPr>
          <w:rFonts w:ascii="Arial" w:hAnsi="Arial" w:cs="Arial"/>
          <w:sz w:val="22"/>
          <w:szCs w:val="22"/>
        </w:rPr>
        <w:t>Sustainability: to include in next year’s APR a showcase of the Faculty’s key sustainability exempla</w:t>
      </w:r>
      <w:r w:rsidR="00841384">
        <w:rPr>
          <w:rFonts w:ascii="Arial" w:hAnsi="Arial" w:cs="Arial"/>
          <w:sz w:val="22"/>
          <w:szCs w:val="22"/>
        </w:rPr>
        <w:t>rs.</w:t>
      </w:r>
    </w:p>
    <w:p w:rsidR="000E5032" w:rsidRDefault="000E5032" w:rsidP="00AD4E29">
      <w:pPr>
        <w:pStyle w:val="ListParagraph"/>
        <w:numPr>
          <w:ilvl w:val="0"/>
          <w:numId w:val="44"/>
        </w:numPr>
        <w:tabs>
          <w:tab w:val="left" w:pos="561"/>
        </w:tabs>
        <w:rPr>
          <w:rFonts w:ascii="Arial" w:hAnsi="Arial" w:cs="Arial"/>
          <w:sz w:val="22"/>
          <w:szCs w:val="22"/>
        </w:rPr>
      </w:pPr>
      <w:r w:rsidRPr="00AD4E29">
        <w:rPr>
          <w:rFonts w:ascii="Arial" w:hAnsi="Arial" w:cs="Arial"/>
          <w:sz w:val="22"/>
          <w:szCs w:val="22"/>
        </w:rPr>
        <w:t xml:space="preserve">Communications: </w:t>
      </w:r>
      <w:r w:rsidR="00841384">
        <w:rPr>
          <w:rFonts w:ascii="Arial" w:hAnsi="Arial" w:cs="Arial"/>
          <w:sz w:val="22"/>
          <w:szCs w:val="22"/>
        </w:rPr>
        <w:t>t</w:t>
      </w:r>
      <w:r w:rsidRPr="00AD4E29">
        <w:rPr>
          <w:rFonts w:ascii="Arial" w:hAnsi="Arial" w:cs="Arial"/>
          <w:sz w:val="22"/>
          <w:szCs w:val="22"/>
        </w:rPr>
        <w:t>o review how to articulate the social responsibility elements of the Faculty’s teaching activities.</w:t>
      </w:r>
    </w:p>
    <w:p w:rsidR="00841384" w:rsidRPr="00AD4E29" w:rsidRDefault="00841384" w:rsidP="00841384">
      <w:pPr>
        <w:pStyle w:val="ListParagraph"/>
        <w:numPr>
          <w:ilvl w:val="0"/>
          <w:numId w:val="44"/>
        </w:numPr>
        <w:tabs>
          <w:tab w:val="left" w:pos="561"/>
        </w:tabs>
        <w:rPr>
          <w:rFonts w:ascii="Arial" w:hAnsi="Arial" w:cs="Arial"/>
          <w:sz w:val="22"/>
          <w:szCs w:val="22"/>
        </w:rPr>
      </w:pPr>
      <w:r>
        <w:rPr>
          <w:rFonts w:ascii="Arial" w:hAnsi="Arial" w:cs="Arial"/>
          <w:sz w:val="22"/>
          <w:szCs w:val="22"/>
        </w:rPr>
        <w:t xml:space="preserve">Leadership: </w:t>
      </w:r>
      <w:r w:rsidRPr="00841384">
        <w:rPr>
          <w:rFonts w:ascii="Arial" w:hAnsi="Arial" w:cs="Arial"/>
          <w:sz w:val="22"/>
          <w:szCs w:val="22"/>
        </w:rPr>
        <w:t>to continue to embed social responsibility leadership structures in the Faculty.</w:t>
      </w:r>
    </w:p>
    <w:p w:rsidR="00C644B8" w:rsidRPr="00D537FE" w:rsidRDefault="00C644B8" w:rsidP="00DE4996">
      <w:pPr>
        <w:tabs>
          <w:tab w:val="left" w:pos="561"/>
        </w:tabs>
        <w:ind w:left="561" w:hanging="561"/>
        <w:rPr>
          <w:rFonts w:ascii="Arial" w:hAnsi="Arial" w:cs="Arial"/>
          <w:sz w:val="20"/>
          <w:szCs w:val="20"/>
          <w:lang w:val="en-GB"/>
        </w:rPr>
      </w:pPr>
    </w:p>
    <w:p w:rsidR="008402FB" w:rsidRDefault="005758BF" w:rsidP="00315315">
      <w:pPr>
        <w:tabs>
          <w:tab w:val="left" w:pos="561"/>
        </w:tabs>
        <w:ind w:left="561" w:hanging="561"/>
        <w:rPr>
          <w:rFonts w:ascii="Arial" w:hAnsi="Arial" w:cs="Arial"/>
          <w:sz w:val="22"/>
          <w:szCs w:val="18"/>
          <w:lang w:val="en-GB"/>
        </w:rPr>
      </w:pPr>
      <w:r>
        <w:rPr>
          <w:rFonts w:ascii="Arial" w:hAnsi="Arial" w:cs="Arial"/>
          <w:sz w:val="22"/>
          <w:szCs w:val="18"/>
          <w:lang w:val="en-GB"/>
        </w:rPr>
        <w:tab/>
      </w:r>
      <w:r w:rsidR="000E5032">
        <w:rPr>
          <w:rFonts w:ascii="Arial" w:hAnsi="Arial" w:cs="Arial"/>
          <w:sz w:val="22"/>
          <w:szCs w:val="18"/>
          <w:lang w:val="en-GB"/>
        </w:rPr>
        <w:t>Risk and Compliance</w:t>
      </w:r>
    </w:p>
    <w:p w:rsidR="000E5032" w:rsidRDefault="000E5032" w:rsidP="00315315">
      <w:pPr>
        <w:tabs>
          <w:tab w:val="left" w:pos="561"/>
        </w:tabs>
        <w:ind w:left="561" w:hanging="561"/>
        <w:rPr>
          <w:rFonts w:ascii="Arial" w:hAnsi="Arial" w:cs="Arial"/>
          <w:sz w:val="22"/>
          <w:szCs w:val="18"/>
          <w:lang w:val="en-GB"/>
        </w:rPr>
      </w:pPr>
    </w:p>
    <w:p w:rsidR="000E5032" w:rsidRPr="00841384" w:rsidRDefault="00AD4E29" w:rsidP="00AD4E29">
      <w:pPr>
        <w:pStyle w:val="ListParagraph"/>
        <w:numPr>
          <w:ilvl w:val="0"/>
          <w:numId w:val="44"/>
        </w:numPr>
        <w:tabs>
          <w:tab w:val="left" w:pos="561"/>
        </w:tabs>
        <w:rPr>
          <w:rFonts w:ascii="Arial" w:hAnsi="Arial" w:cs="Arial"/>
          <w:sz w:val="22"/>
          <w:szCs w:val="18"/>
        </w:rPr>
      </w:pPr>
      <w:r>
        <w:rPr>
          <w:rFonts w:ascii="Arial" w:hAnsi="Arial" w:cs="Arial"/>
          <w:sz w:val="22"/>
          <w:szCs w:val="18"/>
          <w:lang w:val="en-GB"/>
        </w:rPr>
        <w:t xml:space="preserve">(i) </w:t>
      </w:r>
      <w:r w:rsidR="000E5032" w:rsidRPr="00AD4E29">
        <w:rPr>
          <w:rFonts w:ascii="Arial" w:hAnsi="Arial" w:cs="Arial"/>
          <w:sz w:val="22"/>
          <w:szCs w:val="18"/>
          <w:lang w:val="en-GB"/>
        </w:rPr>
        <w:t>to revise the risk map to reflect concerns in the SWOTs; and (ii) to define clearly which staff (both academic and PSS) should undertake mandatory data protection training and instigate catch-up training at the earliest opportunity.</w:t>
      </w:r>
    </w:p>
    <w:p w:rsidR="00841384" w:rsidRDefault="00841384" w:rsidP="00841384">
      <w:pPr>
        <w:tabs>
          <w:tab w:val="left" w:pos="561"/>
        </w:tabs>
        <w:ind w:left="561"/>
        <w:rPr>
          <w:rFonts w:ascii="Arial" w:hAnsi="Arial" w:cs="Arial"/>
          <w:sz w:val="22"/>
          <w:szCs w:val="18"/>
        </w:rPr>
      </w:pPr>
    </w:p>
    <w:p w:rsidR="00841384" w:rsidRDefault="00841384" w:rsidP="00841384">
      <w:pPr>
        <w:tabs>
          <w:tab w:val="left" w:pos="561"/>
        </w:tabs>
        <w:ind w:left="561"/>
        <w:rPr>
          <w:rFonts w:ascii="Arial" w:hAnsi="Arial" w:cs="Arial"/>
          <w:sz w:val="22"/>
          <w:szCs w:val="18"/>
        </w:rPr>
      </w:pPr>
      <w:r>
        <w:rPr>
          <w:rFonts w:ascii="Arial" w:hAnsi="Arial" w:cs="Arial"/>
          <w:sz w:val="22"/>
          <w:szCs w:val="18"/>
        </w:rPr>
        <w:t>Other issues</w:t>
      </w:r>
    </w:p>
    <w:p w:rsidR="00841384" w:rsidRPr="00841384" w:rsidRDefault="00841384" w:rsidP="00841384">
      <w:pPr>
        <w:tabs>
          <w:tab w:val="left" w:pos="561"/>
        </w:tabs>
        <w:ind w:left="561"/>
        <w:rPr>
          <w:rFonts w:ascii="Arial" w:hAnsi="Arial" w:cs="Arial"/>
          <w:sz w:val="22"/>
          <w:szCs w:val="18"/>
        </w:rPr>
      </w:pPr>
    </w:p>
    <w:p w:rsidR="00841384" w:rsidRPr="00841384" w:rsidRDefault="00841384" w:rsidP="00841384">
      <w:pPr>
        <w:pStyle w:val="ListParagraph"/>
        <w:numPr>
          <w:ilvl w:val="0"/>
          <w:numId w:val="44"/>
        </w:numPr>
        <w:tabs>
          <w:tab w:val="left" w:pos="561"/>
        </w:tabs>
        <w:rPr>
          <w:rFonts w:ascii="Arial" w:hAnsi="Arial" w:cs="Arial"/>
          <w:sz w:val="22"/>
          <w:szCs w:val="18"/>
        </w:rPr>
      </w:pPr>
      <w:r>
        <w:rPr>
          <w:rFonts w:ascii="Arial" w:hAnsi="Arial" w:cs="Arial"/>
          <w:sz w:val="22"/>
          <w:szCs w:val="18"/>
        </w:rPr>
        <w:t>T</w:t>
      </w:r>
      <w:r w:rsidRPr="00841384">
        <w:rPr>
          <w:rFonts w:ascii="Arial" w:hAnsi="Arial" w:cs="Arial"/>
          <w:sz w:val="22"/>
          <w:szCs w:val="18"/>
        </w:rPr>
        <w:t>o seek and expl</w:t>
      </w:r>
      <w:r w:rsidR="00F86F0F">
        <w:rPr>
          <w:rFonts w:ascii="Arial" w:hAnsi="Arial" w:cs="Arial"/>
          <w:sz w:val="22"/>
          <w:szCs w:val="18"/>
        </w:rPr>
        <w:t>oit opportunities arising from d</w:t>
      </w:r>
      <w:r w:rsidRPr="00841384">
        <w:rPr>
          <w:rFonts w:ascii="Arial" w:hAnsi="Arial" w:cs="Arial"/>
          <w:sz w:val="22"/>
          <w:szCs w:val="18"/>
        </w:rPr>
        <w:t>evo</w:t>
      </w:r>
      <w:r w:rsidR="003F1E26">
        <w:rPr>
          <w:rFonts w:ascii="Arial" w:hAnsi="Arial" w:cs="Arial"/>
          <w:sz w:val="22"/>
          <w:szCs w:val="18"/>
        </w:rPr>
        <w:t>lution</w:t>
      </w:r>
      <w:r w:rsidRPr="00841384">
        <w:rPr>
          <w:rFonts w:ascii="Arial" w:hAnsi="Arial" w:cs="Arial"/>
          <w:sz w:val="22"/>
          <w:szCs w:val="18"/>
        </w:rPr>
        <w:t xml:space="preserve"> and the Northern Powerhouse.</w:t>
      </w:r>
    </w:p>
    <w:p w:rsidR="00B61E8B" w:rsidRPr="00910CFB" w:rsidRDefault="00B61E8B" w:rsidP="00910CFB">
      <w:pPr>
        <w:ind w:left="555"/>
        <w:rPr>
          <w:rFonts w:ascii="TheSans B5 Plain" w:hAnsi="TheSans B5 Plain"/>
          <w:sz w:val="22"/>
          <w:szCs w:val="22"/>
          <w:lang w:val="en-GB"/>
        </w:rPr>
      </w:pPr>
    </w:p>
    <w:p w:rsidR="00DE4996" w:rsidRDefault="00DE4996" w:rsidP="00DE4996">
      <w:pPr>
        <w:ind w:left="567" w:hanging="12"/>
        <w:rPr>
          <w:rFonts w:ascii="Arial" w:hAnsi="Arial" w:cs="Arial"/>
          <w:sz w:val="22"/>
          <w:szCs w:val="22"/>
          <w:lang w:val="en-GB"/>
        </w:rPr>
      </w:pPr>
      <w:r w:rsidRPr="00266B6E">
        <w:rPr>
          <w:rFonts w:ascii="Arial" w:hAnsi="Arial" w:cs="Arial"/>
          <w:sz w:val="22"/>
          <w:szCs w:val="22"/>
          <w:lang w:val="en-GB"/>
        </w:rPr>
        <w:t xml:space="preserve">These priorities should be incorporated within the Faculty’s </w:t>
      </w:r>
      <w:r w:rsidR="006F5530" w:rsidRPr="00266B6E">
        <w:rPr>
          <w:rFonts w:ascii="Arial" w:hAnsi="Arial" w:cs="Arial"/>
          <w:sz w:val="22"/>
          <w:szCs w:val="22"/>
          <w:lang w:val="en-GB"/>
        </w:rPr>
        <w:t>Operational Priorities for 201</w:t>
      </w:r>
      <w:r w:rsidR="00315315">
        <w:rPr>
          <w:rFonts w:ascii="Arial" w:hAnsi="Arial" w:cs="Arial"/>
          <w:sz w:val="22"/>
          <w:szCs w:val="22"/>
          <w:lang w:val="en-GB"/>
        </w:rPr>
        <w:t>5</w:t>
      </w:r>
      <w:r w:rsidR="006F5530" w:rsidRPr="00266B6E">
        <w:rPr>
          <w:rFonts w:ascii="Arial" w:hAnsi="Arial" w:cs="Arial"/>
          <w:sz w:val="22"/>
          <w:szCs w:val="22"/>
          <w:lang w:val="en-GB"/>
        </w:rPr>
        <w:t>/</w:t>
      </w:r>
      <w:r w:rsidRPr="00266B6E">
        <w:rPr>
          <w:rFonts w:ascii="Arial" w:hAnsi="Arial" w:cs="Arial"/>
          <w:sz w:val="22"/>
          <w:szCs w:val="22"/>
          <w:lang w:val="en-GB"/>
        </w:rPr>
        <w:t>1</w:t>
      </w:r>
      <w:r w:rsidR="00315315">
        <w:rPr>
          <w:rFonts w:ascii="Arial" w:hAnsi="Arial" w:cs="Arial"/>
          <w:sz w:val="22"/>
          <w:szCs w:val="22"/>
          <w:lang w:val="en-GB"/>
        </w:rPr>
        <w:t>6</w:t>
      </w:r>
      <w:r w:rsidRPr="00266B6E">
        <w:rPr>
          <w:rFonts w:ascii="Arial" w:hAnsi="Arial" w:cs="Arial"/>
          <w:sz w:val="22"/>
          <w:szCs w:val="22"/>
          <w:lang w:val="en-GB"/>
        </w:rPr>
        <w:t xml:space="preserve"> and will be followed up on a regular basis. In addition,</w:t>
      </w:r>
      <w:r w:rsidRPr="00266B6E">
        <w:rPr>
          <w:rFonts w:ascii="Arial" w:hAnsi="Arial" w:cs="Arial"/>
          <w:sz w:val="22"/>
          <w:szCs w:val="18"/>
          <w:lang w:val="en-GB"/>
        </w:rPr>
        <w:t xml:space="preserve"> a</w:t>
      </w:r>
      <w:r w:rsidRPr="00266B6E">
        <w:rPr>
          <w:rFonts w:ascii="Arial" w:hAnsi="Arial" w:cs="Arial"/>
          <w:sz w:val="22"/>
          <w:szCs w:val="22"/>
          <w:lang w:val="en-GB"/>
        </w:rPr>
        <w:t>n interim report should be submitted to the Planning Support Office by</w:t>
      </w:r>
      <w:r w:rsidRPr="005C2781">
        <w:rPr>
          <w:rFonts w:ascii="Arial" w:hAnsi="Arial" w:cs="Arial"/>
          <w:sz w:val="22"/>
          <w:szCs w:val="22"/>
          <w:lang w:val="en-GB"/>
        </w:rPr>
        <w:t xml:space="preserve"> </w:t>
      </w:r>
      <w:r w:rsidR="00315315">
        <w:rPr>
          <w:rFonts w:ascii="Arial" w:hAnsi="Arial" w:cs="Arial"/>
          <w:b/>
          <w:bCs/>
          <w:sz w:val="22"/>
          <w:szCs w:val="22"/>
          <w:lang w:val="en-GB"/>
        </w:rPr>
        <w:t>12</w:t>
      </w:r>
      <w:r w:rsidRPr="000E3C95">
        <w:rPr>
          <w:rFonts w:ascii="Arial" w:hAnsi="Arial" w:cs="Arial"/>
          <w:b/>
          <w:bCs/>
          <w:sz w:val="22"/>
          <w:szCs w:val="22"/>
          <w:lang w:val="en-GB"/>
        </w:rPr>
        <w:t xml:space="preserve"> February 201</w:t>
      </w:r>
      <w:r w:rsidR="00315315">
        <w:rPr>
          <w:rFonts w:ascii="Arial" w:hAnsi="Arial" w:cs="Arial"/>
          <w:b/>
          <w:bCs/>
          <w:sz w:val="22"/>
          <w:szCs w:val="22"/>
          <w:lang w:val="en-GB"/>
        </w:rPr>
        <w:t>6</w:t>
      </w:r>
      <w:r w:rsidRPr="005C2781">
        <w:rPr>
          <w:rFonts w:ascii="Arial" w:hAnsi="Arial" w:cs="Arial"/>
          <w:sz w:val="22"/>
          <w:szCs w:val="22"/>
          <w:lang w:val="en-GB"/>
        </w:rPr>
        <w:t xml:space="preserve"> detailing the actions taken to address the priorities identified.</w:t>
      </w:r>
    </w:p>
    <w:p w:rsidR="00D537FE" w:rsidRPr="00B80C73" w:rsidRDefault="00D537FE" w:rsidP="00DE4996">
      <w:pPr>
        <w:rPr>
          <w:rFonts w:ascii="Arial" w:hAnsi="Arial" w:cs="Arial"/>
          <w:sz w:val="20"/>
          <w:szCs w:val="20"/>
          <w:lang w:val="en-GB"/>
        </w:rPr>
      </w:pPr>
    </w:p>
    <w:p w:rsidR="00DE4996" w:rsidRPr="00714D49" w:rsidRDefault="00DE4996" w:rsidP="00DE4996">
      <w:pPr>
        <w:rPr>
          <w:rFonts w:ascii="Arial" w:hAnsi="Arial" w:cs="Arial"/>
          <w:sz w:val="18"/>
          <w:szCs w:val="18"/>
          <w:lang w:val="en-GB"/>
        </w:rPr>
      </w:pPr>
      <w:r w:rsidRPr="00714D49">
        <w:rPr>
          <w:rFonts w:ascii="Arial" w:hAnsi="Arial" w:cs="Arial"/>
          <w:sz w:val="18"/>
          <w:szCs w:val="18"/>
          <w:lang w:val="en-GB"/>
        </w:rPr>
        <w:t>Planning Support Office</w:t>
      </w:r>
      <w:r w:rsidR="00B80C73">
        <w:rPr>
          <w:rFonts w:ascii="Arial" w:hAnsi="Arial" w:cs="Arial"/>
          <w:sz w:val="18"/>
          <w:szCs w:val="18"/>
          <w:lang w:val="en-GB"/>
        </w:rPr>
        <w:t xml:space="preserve">    </w:t>
      </w:r>
    </w:p>
    <w:p w:rsidR="00D34972" w:rsidRPr="00F1322B" w:rsidRDefault="00B80C73" w:rsidP="00DE4996">
      <w:pPr>
        <w:tabs>
          <w:tab w:val="left" w:pos="561"/>
        </w:tabs>
        <w:rPr>
          <w:rFonts w:ascii="Arial" w:hAnsi="Arial" w:cs="Arial"/>
          <w:sz w:val="16"/>
          <w:szCs w:val="16"/>
          <w:lang w:val="en-GB"/>
        </w:rPr>
      </w:pPr>
      <w:r>
        <w:rPr>
          <w:rFonts w:ascii="Arial" w:hAnsi="Arial" w:cs="Arial"/>
          <w:sz w:val="18"/>
          <w:szCs w:val="18"/>
          <w:lang w:val="en-GB"/>
        </w:rPr>
        <w:t>January 2016</w:t>
      </w:r>
    </w:p>
    <w:sectPr w:rsidR="00D34972" w:rsidRPr="00F1322B" w:rsidSect="000A0693">
      <w:headerReference w:type="even" r:id="rId10"/>
      <w:headerReference w:type="default" r:id="rId11"/>
      <w:footerReference w:type="even" r:id="rId12"/>
      <w:footerReference w:type="default" r:id="rId13"/>
      <w:headerReference w:type="first" r:id="rId14"/>
      <w:footerReference w:type="first" r:id="rId15"/>
      <w:pgSz w:w="11909" w:h="16834" w:code="9"/>
      <w:pgMar w:top="1134" w:right="851" w:bottom="567"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0F" w:rsidRDefault="00104F0F">
      <w:pPr>
        <w:pStyle w:val="CommentSubject"/>
      </w:pPr>
      <w:r>
        <w:separator/>
      </w:r>
    </w:p>
  </w:endnote>
  <w:endnote w:type="continuationSeparator" w:id="0">
    <w:p w:rsidR="00104F0F" w:rsidRDefault="00104F0F">
      <w:pPr>
        <w:pStyle w:val="CommentSubject"/>
      </w:pPr>
      <w:r>
        <w:continuationSeparator/>
      </w:r>
    </w:p>
  </w:endnote>
  <w:endnote w:type="continuationNotice" w:id="1">
    <w:p w:rsidR="00104F0F" w:rsidRDefault="00104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CE" w:rsidRDefault="00CB5941">
    <w:pPr>
      <w:pStyle w:val="Footer"/>
      <w:framePr w:wrap="around" w:vAnchor="text" w:hAnchor="margin" w:xAlign="center" w:y="1"/>
      <w:rPr>
        <w:rStyle w:val="PageNumber"/>
      </w:rPr>
    </w:pPr>
    <w:r>
      <w:rPr>
        <w:rStyle w:val="PageNumber"/>
      </w:rPr>
      <w:fldChar w:fldCharType="begin"/>
    </w:r>
    <w:r w:rsidR="00CF4ACE">
      <w:rPr>
        <w:rStyle w:val="PageNumber"/>
      </w:rPr>
      <w:instrText xml:space="preserve">PAGE  </w:instrText>
    </w:r>
    <w:r>
      <w:rPr>
        <w:rStyle w:val="PageNumber"/>
      </w:rPr>
      <w:fldChar w:fldCharType="end"/>
    </w:r>
  </w:p>
  <w:p w:rsidR="00CF4ACE" w:rsidRDefault="00CF4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CE" w:rsidRPr="00C41E05" w:rsidRDefault="00CB5941">
    <w:pPr>
      <w:pStyle w:val="Footer"/>
      <w:framePr w:wrap="around" w:vAnchor="text" w:hAnchor="margin" w:xAlign="center" w:y="1"/>
      <w:rPr>
        <w:rStyle w:val="PageNumber"/>
        <w:rFonts w:ascii="Arial" w:hAnsi="Arial" w:cs="Arial"/>
        <w:sz w:val="16"/>
        <w:szCs w:val="16"/>
      </w:rPr>
    </w:pPr>
    <w:r w:rsidRPr="00C41E05">
      <w:rPr>
        <w:rStyle w:val="PageNumber"/>
        <w:rFonts w:ascii="Arial" w:hAnsi="Arial" w:cs="Arial"/>
        <w:sz w:val="16"/>
        <w:szCs w:val="16"/>
      </w:rPr>
      <w:fldChar w:fldCharType="begin"/>
    </w:r>
    <w:r w:rsidR="00CF4ACE" w:rsidRPr="00C41E05">
      <w:rPr>
        <w:rStyle w:val="PageNumber"/>
        <w:rFonts w:ascii="Arial" w:hAnsi="Arial" w:cs="Arial"/>
        <w:sz w:val="16"/>
        <w:szCs w:val="16"/>
      </w:rPr>
      <w:instrText xml:space="preserve">PAGE  </w:instrText>
    </w:r>
    <w:r w:rsidRPr="00C41E05">
      <w:rPr>
        <w:rStyle w:val="PageNumber"/>
        <w:rFonts w:ascii="Arial" w:hAnsi="Arial" w:cs="Arial"/>
        <w:sz w:val="16"/>
        <w:szCs w:val="16"/>
      </w:rPr>
      <w:fldChar w:fldCharType="separate"/>
    </w:r>
    <w:r w:rsidR="00830B24">
      <w:rPr>
        <w:rStyle w:val="PageNumber"/>
        <w:rFonts w:ascii="Arial" w:hAnsi="Arial" w:cs="Arial"/>
        <w:noProof/>
        <w:sz w:val="16"/>
        <w:szCs w:val="16"/>
      </w:rPr>
      <w:t>9</w:t>
    </w:r>
    <w:r w:rsidRPr="00C41E05">
      <w:rPr>
        <w:rStyle w:val="PageNumber"/>
        <w:rFonts w:ascii="Arial" w:hAnsi="Arial" w:cs="Arial"/>
        <w:sz w:val="16"/>
        <w:szCs w:val="16"/>
      </w:rPr>
      <w:fldChar w:fldCharType="end"/>
    </w:r>
  </w:p>
  <w:p w:rsidR="00CF4ACE" w:rsidRPr="00C41E05" w:rsidRDefault="00CF4ACE" w:rsidP="00EA1261">
    <w:pPr>
      <w:pStyle w:val="Footer"/>
      <w:jc w:val="right"/>
      <w:rPr>
        <w:rFonts w:ascii="Arial" w:hAnsi="Arial" w:cs="Arial"/>
        <w:sz w:val="16"/>
        <w:szCs w:val="16"/>
        <w:lang w:val="en-GB"/>
      </w:rPr>
    </w:pPr>
    <w:r>
      <w:rPr>
        <w:rFonts w:ascii="Arial" w:hAnsi="Arial" w:cs="Arial"/>
        <w:sz w:val="16"/>
        <w:szCs w:val="16"/>
        <w:lang w:val="en-GB"/>
      </w:rPr>
      <w:t>EPS APR 2015</w:t>
    </w:r>
  </w:p>
  <w:p w:rsidR="00CF4ACE" w:rsidRPr="00C41E05" w:rsidRDefault="00CF4ACE" w:rsidP="00C41E05">
    <w:pPr>
      <w:pStyle w:val="Footer"/>
      <w:jc w:val="righ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0F" w:rsidRDefault="00104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0F" w:rsidRDefault="00104F0F">
      <w:pPr>
        <w:pStyle w:val="CommentSubject"/>
      </w:pPr>
      <w:r>
        <w:separator/>
      </w:r>
    </w:p>
  </w:footnote>
  <w:footnote w:type="continuationSeparator" w:id="0">
    <w:p w:rsidR="00104F0F" w:rsidRDefault="00104F0F">
      <w:pPr>
        <w:pStyle w:val="CommentSubject"/>
      </w:pPr>
      <w:r>
        <w:continuationSeparator/>
      </w:r>
    </w:p>
  </w:footnote>
  <w:footnote w:type="continuationNotice" w:id="1">
    <w:p w:rsidR="00104F0F" w:rsidRDefault="00104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0F" w:rsidRDefault="00104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CE" w:rsidRDefault="00CF4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0F" w:rsidRDefault="00104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2A6"/>
    <w:multiLevelType w:val="hybridMultilevel"/>
    <w:tmpl w:val="7E38AA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A32F1"/>
    <w:multiLevelType w:val="hybridMultilevel"/>
    <w:tmpl w:val="16F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D352A"/>
    <w:multiLevelType w:val="hybridMultilevel"/>
    <w:tmpl w:val="92C4CE4C"/>
    <w:lvl w:ilvl="0" w:tplc="DB167D04">
      <w:start w:val="1"/>
      <w:numFmt w:val="lowerLetter"/>
      <w:lvlText w:val="%1)"/>
      <w:lvlJc w:val="left"/>
      <w:pPr>
        <w:ind w:left="1283" w:hanging="360"/>
      </w:pPr>
      <w:rPr>
        <w:rFonts w:hint="default"/>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3">
    <w:nsid w:val="064E1E6F"/>
    <w:multiLevelType w:val="hybridMultilevel"/>
    <w:tmpl w:val="65D2BB64"/>
    <w:lvl w:ilvl="0" w:tplc="08090005">
      <w:start w:val="1"/>
      <w:numFmt w:val="bullet"/>
      <w:lvlText w:val=""/>
      <w:lvlJc w:val="left"/>
      <w:pPr>
        <w:ind w:left="1283" w:hanging="360"/>
      </w:pPr>
      <w:rPr>
        <w:rFonts w:ascii="Wingdings" w:hAnsi="Wingdings"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
    <w:nsid w:val="09FC4C95"/>
    <w:multiLevelType w:val="hybridMultilevel"/>
    <w:tmpl w:val="6B54D676"/>
    <w:lvl w:ilvl="0" w:tplc="5EFAFF60">
      <w:start w:val="1"/>
      <w:numFmt w:val="lowerRoman"/>
      <w:lvlText w:val="%1)"/>
      <w:lvlJc w:val="right"/>
      <w:pPr>
        <w:tabs>
          <w:tab w:val="num" w:pos="1644"/>
        </w:tabs>
        <w:ind w:left="1644"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24758"/>
    <w:multiLevelType w:val="hybridMultilevel"/>
    <w:tmpl w:val="9FDAE908"/>
    <w:lvl w:ilvl="0" w:tplc="DD324E06">
      <w:start w:val="1"/>
      <w:numFmt w:val="bullet"/>
      <w:lvlText w:val=""/>
      <w:lvlJc w:val="left"/>
      <w:pPr>
        <w:tabs>
          <w:tab w:val="num" w:pos="3441"/>
        </w:tabs>
        <w:ind w:left="3441" w:hanging="1519"/>
      </w:pPr>
      <w:rPr>
        <w:rFonts w:ascii="Symbol" w:hAnsi="Symbol" w:hint="default"/>
      </w:rPr>
    </w:lvl>
    <w:lvl w:ilvl="1" w:tplc="08090003" w:tentative="1">
      <w:start w:val="1"/>
      <w:numFmt w:val="bullet"/>
      <w:lvlText w:val="o"/>
      <w:lvlJc w:val="left"/>
      <w:pPr>
        <w:tabs>
          <w:tab w:val="num" w:pos="2001"/>
        </w:tabs>
        <w:ind w:left="2001" w:hanging="360"/>
      </w:pPr>
      <w:rPr>
        <w:rFonts w:ascii="Courier New" w:hAnsi="Courier New" w:cs="Courier New" w:hint="default"/>
      </w:rPr>
    </w:lvl>
    <w:lvl w:ilvl="2" w:tplc="08090005" w:tentative="1">
      <w:start w:val="1"/>
      <w:numFmt w:val="bullet"/>
      <w:lvlText w:val=""/>
      <w:lvlJc w:val="left"/>
      <w:pPr>
        <w:tabs>
          <w:tab w:val="num" w:pos="2721"/>
        </w:tabs>
        <w:ind w:left="2721" w:hanging="360"/>
      </w:pPr>
      <w:rPr>
        <w:rFonts w:ascii="Wingdings" w:hAnsi="Wingdings" w:hint="default"/>
      </w:rPr>
    </w:lvl>
    <w:lvl w:ilvl="3" w:tplc="08090001" w:tentative="1">
      <w:start w:val="1"/>
      <w:numFmt w:val="bullet"/>
      <w:lvlText w:val=""/>
      <w:lvlJc w:val="left"/>
      <w:pPr>
        <w:tabs>
          <w:tab w:val="num" w:pos="3441"/>
        </w:tabs>
        <w:ind w:left="3441" w:hanging="360"/>
      </w:pPr>
      <w:rPr>
        <w:rFonts w:ascii="Symbol" w:hAnsi="Symbol" w:hint="default"/>
      </w:rPr>
    </w:lvl>
    <w:lvl w:ilvl="4" w:tplc="08090003" w:tentative="1">
      <w:start w:val="1"/>
      <w:numFmt w:val="bullet"/>
      <w:lvlText w:val="o"/>
      <w:lvlJc w:val="left"/>
      <w:pPr>
        <w:tabs>
          <w:tab w:val="num" w:pos="4161"/>
        </w:tabs>
        <w:ind w:left="4161" w:hanging="360"/>
      </w:pPr>
      <w:rPr>
        <w:rFonts w:ascii="Courier New" w:hAnsi="Courier New" w:cs="Courier New" w:hint="default"/>
      </w:rPr>
    </w:lvl>
    <w:lvl w:ilvl="5" w:tplc="08090005" w:tentative="1">
      <w:start w:val="1"/>
      <w:numFmt w:val="bullet"/>
      <w:lvlText w:val=""/>
      <w:lvlJc w:val="left"/>
      <w:pPr>
        <w:tabs>
          <w:tab w:val="num" w:pos="4881"/>
        </w:tabs>
        <w:ind w:left="4881" w:hanging="360"/>
      </w:pPr>
      <w:rPr>
        <w:rFonts w:ascii="Wingdings" w:hAnsi="Wingdings" w:hint="default"/>
      </w:rPr>
    </w:lvl>
    <w:lvl w:ilvl="6" w:tplc="08090001" w:tentative="1">
      <w:start w:val="1"/>
      <w:numFmt w:val="bullet"/>
      <w:lvlText w:val=""/>
      <w:lvlJc w:val="left"/>
      <w:pPr>
        <w:tabs>
          <w:tab w:val="num" w:pos="5601"/>
        </w:tabs>
        <w:ind w:left="5601" w:hanging="360"/>
      </w:pPr>
      <w:rPr>
        <w:rFonts w:ascii="Symbol" w:hAnsi="Symbol" w:hint="default"/>
      </w:rPr>
    </w:lvl>
    <w:lvl w:ilvl="7" w:tplc="08090003" w:tentative="1">
      <w:start w:val="1"/>
      <w:numFmt w:val="bullet"/>
      <w:lvlText w:val="o"/>
      <w:lvlJc w:val="left"/>
      <w:pPr>
        <w:tabs>
          <w:tab w:val="num" w:pos="6321"/>
        </w:tabs>
        <w:ind w:left="6321" w:hanging="360"/>
      </w:pPr>
      <w:rPr>
        <w:rFonts w:ascii="Courier New" w:hAnsi="Courier New" w:cs="Courier New" w:hint="default"/>
      </w:rPr>
    </w:lvl>
    <w:lvl w:ilvl="8" w:tplc="08090005" w:tentative="1">
      <w:start w:val="1"/>
      <w:numFmt w:val="bullet"/>
      <w:lvlText w:val=""/>
      <w:lvlJc w:val="left"/>
      <w:pPr>
        <w:tabs>
          <w:tab w:val="num" w:pos="7041"/>
        </w:tabs>
        <w:ind w:left="7041" w:hanging="360"/>
      </w:pPr>
      <w:rPr>
        <w:rFonts w:ascii="Wingdings" w:hAnsi="Wingdings" w:hint="default"/>
      </w:rPr>
    </w:lvl>
  </w:abstractNum>
  <w:abstractNum w:abstractNumId="6">
    <w:nsid w:val="0F5A20CE"/>
    <w:multiLevelType w:val="hybridMultilevel"/>
    <w:tmpl w:val="CCBCCD1E"/>
    <w:lvl w:ilvl="0" w:tplc="A7F01200">
      <w:start w:val="3"/>
      <w:numFmt w:val="bullet"/>
      <w:lvlText w:val="-"/>
      <w:lvlJc w:val="left"/>
      <w:pPr>
        <w:ind w:left="915" w:hanging="360"/>
      </w:pPr>
      <w:rPr>
        <w:rFonts w:ascii="Arial" w:eastAsia="Times New Roman" w:hAnsi="Arial" w:cs="Aria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7">
    <w:nsid w:val="127C5D2B"/>
    <w:multiLevelType w:val="hybridMultilevel"/>
    <w:tmpl w:val="14D0DF86"/>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8">
    <w:nsid w:val="12F62276"/>
    <w:multiLevelType w:val="hybridMultilevel"/>
    <w:tmpl w:val="7578DE7A"/>
    <w:lvl w:ilvl="0" w:tplc="3FA40A24">
      <w:start w:val="3"/>
      <w:numFmt w:val="bullet"/>
      <w:lvlText w:val="-"/>
      <w:lvlJc w:val="left"/>
      <w:pPr>
        <w:ind w:left="915" w:hanging="360"/>
      </w:pPr>
      <w:rPr>
        <w:rFonts w:ascii="Arial" w:eastAsia="Times New Roman" w:hAnsi="Arial" w:cs="Aria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9">
    <w:nsid w:val="187F6417"/>
    <w:multiLevelType w:val="hybridMultilevel"/>
    <w:tmpl w:val="34D0593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0">
    <w:nsid w:val="1AAA3387"/>
    <w:multiLevelType w:val="hybridMultilevel"/>
    <w:tmpl w:val="05CCA050"/>
    <w:lvl w:ilvl="0" w:tplc="DB167D04">
      <w:start w:val="1"/>
      <w:numFmt w:val="lowerLetter"/>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1">
    <w:nsid w:val="1CF22126"/>
    <w:multiLevelType w:val="hybridMultilevel"/>
    <w:tmpl w:val="B3E84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B23298"/>
    <w:multiLevelType w:val="hybridMultilevel"/>
    <w:tmpl w:val="7E0C2C7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3">
    <w:nsid w:val="233134B9"/>
    <w:multiLevelType w:val="hybridMultilevel"/>
    <w:tmpl w:val="D368BB3E"/>
    <w:lvl w:ilvl="0" w:tplc="C12EBB6E">
      <w:start w:val="1"/>
      <w:numFmt w:val="bullet"/>
      <w:lvlText w:val=""/>
      <w:lvlJc w:val="left"/>
      <w:pPr>
        <w:tabs>
          <w:tab w:val="num" w:pos="1128"/>
        </w:tabs>
        <w:ind w:left="1128" w:hanging="283"/>
      </w:pPr>
      <w:rPr>
        <w:rFonts w:ascii="Wingdings" w:hAnsi="Wingdings" w:hint="default"/>
        <w:color w:val="auto"/>
      </w:rPr>
    </w:lvl>
    <w:lvl w:ilvl="1" w:tplc="08090003" w:tentative="1">
      <w:start w:val="1"/>
      <w:numFmt w:val="bullet"/>
      <w:lvlText w:val="o"/>
      <w:lvlJc w:val="left"/>
      <w:pPr>
        <w:tabs>
          <w:tab w:val="num" w:pos="2001"/>
        </w:tabs>
        <w:ind w:left="2001" w:hanging="360"/>
      </w:pPr>
      <w:rPr>
        <w:rFonts w:ascii="Courier New" w:hAnsi="Courier New" w:cs="Courier New" w:hint="default"/>
      </w:rPr>
    </w:lvl>
    <w:lvl w:ilvl="2" w:tplc="08090005" w:tentative="1">
      <w:start w:val="1"/>
      <w:numFmt w:val="bullet"/>
      <w:lvlText w:val=""/>
      <w:lvlJc w:val="left"/>
      <w:pPr>
        <w:tabs>
          <w:tab w:val="num" w:pos="2721"/>
        </w:tabs>
        <w:ind w:left="2721" w:hanging="360"/>
      </w:pPr>
      <w:rPr>
        <w:rFonts w:ascii="Wingdings" w:hAnsi="Wingdings" w:hint="default"/>
      </w:rPr>
    </w:lvl>
    <w:lvl w:ilvl="3" w:tplc="08090001" w:tentative="1">
      <w:start w:val="1"/>
      <w:numFmt w:val="bullet"/>
      <w:lvlText w:val=""/>
      <w:lvlJc w:val="left"/>
      <w:pPr>
        <w:tabs>
          <w:tab w:val="num" w:pos="3441"/>
        </w:tabs>
        <w:ind w:left="3441" w:hanging="360"/>
      </w:pPr>
      <w:rPr>
        <w:rFonts w:ascii="Symbol" w:hAnsi="Symbol" w:hint="default"/>
      </w:rPr>
    </w:lvl>
    <w:lvl w:ilvl="4" w:tplc="08090003" w:tentative="1">
      <w:start w:val="1"/>
      <w:numFmt w:val="bullet"/>
      <w:lvlText w:val="o"/>
      <w:lvlJc w:val="left"/>
      <w:pPr>
        <w:tabs>
          <w:tab w:val="num" w:pos="4161"/>
        </w:tabs>
        <w:ind w:left="4161" w:hanging="360"/>
      </w:pPr>
      <w:rPr>
        <w:rFonts w:ascii="Courier New" w:hAnsi="Courier New" w:cs="Courier New" w:hint="default"/>
      </w:rPr>
    </w:lvl>
    <w:lvl w:ilvl="5" w:tplc="08090005" w:tentative="1">
      <w:start w:val="1"/>
      <w:numFmt w:val="bullet"/>
      <w:lvlText w:val=""/>
      <w:lvlJc w:val="left"/>
      <w:pPr>
        <w:tabs>
          <w:tab w:val="num" w:pos="4881"/>
        </w:tabs>
        <w:ind w:left="4881" w:hanging="360"/>
      </w:pPr>
      <w:rPr>
        <w:rFonts w:ascii="Wingdings" w:hAnsi="Wingdings" w:hint="default"/>
      </w:rPr>
    </w:lvl>
    <w:lvl w:ilvl="6" w:tplc="08090001" w:tentative="1">
      <w:start w:val="1"/>
      <w:numFmt w:val="bullet"/>
      <w:lvlText w:val=""/>
      <w:lvlJc w:val="left"/>
      <w:pPr>
        <w:tabs>
          <w:tab w:val="num" w:pos="5601"/>
        </w:tabs>
        <w:ind w:left="5601" w:hanging="360"/>
      </w:pPr>
      <w:rPr>
        <w:rFonts w:ascii="Symbol" w:hAnsi="Symbol" w:hint="default"/>
      </w:rPr>
    </w:lvl>
    <w:lvl w:ilvl="7" w:tplc="08090003" w:tentative="1">
      <w:start w:val="1"/>
      <w:numFmt w:val="bullet"/>
      <w:lvlText w:val="o"/>
      <w:lvlJc w:val="left"/>
      <w:pPr>
        <w:tabs>
          <w:tab w:val="num" w:pos="6321"/>
        </w:tabs>
        <w:ind w:left="6321" w:hanging="360"/>
      </w:pPr>
      <w:rPr>
        <w:rFonts w:ascii="Courier New" w:hAnsi="Courier New" w:cs="Courier New" w:hint="default"/>
      </w:rPr>
    </w:lvl>
    <w:lvl w:ilvl="8" w:tplc="08090005" w:tentative="1">
      <w:start w:val="1"/>
      <w:numFmt w:val="bullet"/>
      <w:lvlText w:val=""/>
      <w:lvlJc w:val="left"/>
      <w:pPr>
        <w:tabs>
          <w:tab w:val="num" w:pos="7041"/>
        </w:tabs>
        <w:ind w:left="7041" w:hanging="360"/>
      </w:pPr>
      <w:rPr>
        <w:rFonts w:ascii="Wingdings" w:hAnsi="Wingdings" w:hint="default"/>
      </w:rPr>
    </w:lvl>
  </w:abstractNum>
  <w:abstractNum w:abstractNumId="14">
    <w:nsid w:val="27297805"/>
    <w:multiLevelType w:val="hybridMultilevel"/>
    <w:tmpl w:val="48C0489A"/>
    <w:lvl w:ilvl="0" w:tplc="08090001">
      <w:start w:val="1"/>
      <w:numFmt w:val="bullet"/>
      <w:lvlText w:val=""/>
      <w:lvlJc w:val="left"/>
      <w:pPr>
        <w:ind w:left="1275" w:hanging="360"/>
      </w:pPr>
      <w:rPr>
        <w:rFonts w:ascii="Symbol" w:hAnsi="Symbol" w:hint="default"/>
      </w:rPr>
    </w:lvl>
    <w:lvl w:ilvl="1" w:tplc="08090003">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5">
    <w:nsid w:val="27412E67"/>
    <w:multiLevelType w:val="hybridMultilevel"/>
    <w:tmpl w:val="E03017F6"/>
    <w:lvl w:ilvl="0" w:tplc="DE982D72">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6">
    <w:nsid w:val="27D664E1"/>
    <w:multiLevelType w:val="hybridMultilevel"/>
    <w:tmpl w:val="3FEA4B0A"/>
    <w:lvl w:ilvl="0" w:tplc="08090005">
      <w:start w:val="1"/>
      <w:numFmt w:val="bullet"/>
      <w:lvlText w:val=""/>
      <w:lvlJc w:val="left"/>
      <w:pPr>
        <w:ind w:left="921" w:hanging="360"/>
      </w:pPr>
      <w:rPr>
        <w:rFonts w:ascii="Wingdings" w:hAnsi="Wingdings" w:hint="default"/>
      </w:rPr>
    </w:lvl>
    <w:lvl w:ilvl="1" w:tplc="08090003">
      <w:start w:val="1"/>
      <w:numFmt w:val="bullet"/>
      <w:lvlText w:val="o"/>
      <w:lvlJc w:val="left"/>
      <w:pPr>
        <w:ind w:left="1641" w:hanging="360"/>
      </w:pPr>
      <w:rPr>
        <w:rFonts w:ascii="Courier New" w:hAnsi="Courier New" w:cs="Courier New" w:hint="default"/>
      </w:rPr>
    </w:lvl>
    <w:lvl w:ilvl="2" w:tplc="08090005">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17">
    <w:nsid w:val="27DE37B7"/>
    <w:multiLevelType w:val="hybridMultilevel"/>
    <w:tmpl w:val="52F26D1C"/>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18">
    <w:nsid w:val="2A995E2A"/>
    <w:multiLevelType w:val="hybridMultilevel"/>
    <w:tmpl w:val="6BBEE5A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F3F4CF2"/>
    <w:multiLevelType w:val="hybridMultilevel"/>
    <w:tmpl w:val="325C5C3E"/>
    <w:lvl w:ilvl="0" w:tplc="DB167D04">
      <w:start w:val="1"/>
      <w:numFmt w:val="lowerLetter"/>
      <w:lvlText w:val="%1)"/>
      <w:lvlJc w:val="left"/>
      <w:pPr>
        <w:ind w:left="927" w:hanging="360"/>
      </w:pPr>
      <w:rPr>
        <w:rFonts w:hint="default"/>
      </w:rPr>
    </w:lvl>
    <w:lvl w:ilvl="1" w:tplc="36F4A8B8">
      <w:start w:val="10"/>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2F4055B5"/>
    <w:multiLevelType w:val="hybridMultilevel"/>
    <w:tmpl w:val="73305BF8"/>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21">
    <w:nsid w:val="3063742D"/>
    <w:multiLevelType w:val="hybridMultilevel"/>
    <w:tmpl w:val="578AA71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35262F57"/>
    <w:multiLevelType w:val="hybridMultilevel"/>
    <w:tmpl w:val="BD82C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0F4F2E"/>
    <w:multiLevelType w:val="hybridMultilevel"/>
    <w:tmpl w:val="A4BEB600"/>
    <w:lvl w:ilvl="0" w:tplc="DAF0A25E">
      <w:start w:val="1"/>
      <w:numFmt w:val="lowerLetter"/>
      <w:lvlText w:val="%1)"/>
      <w:lvlJc w:val="left"/>
      <w:pPr>
        <w:ind w:left="921" w:hanging="360"/>
      </w:pPr>
      <w:rPr>
        <w:rFonts w:hint="default"/>
      </w:rPr>
    </w:lvl>
    <w:lvl w:ilvl="1" w:tplc="AAF055B4">
      <w:start w:val="1"/>
      <w:numFmt w:val="lowerRoman"/>
      <w:lvlText w:val="(%2)"/>
      <w:lvlJc w:val="left"/>
      <w:pPr>
        <w:ind w:left="2001" w:hanging="720"/>
      </w:pPr>
      <w:rPr>
        <w:rFonts w:hint="default"/>
      </w:r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4">
    <w:nsid w:val="39D015EF"/>
    <w:multiLevelType w:val="hybridMultilevel"/>
    <w:tmpl w:val="6D527C10"/>
    <w:lvl w:ilvl="0" w:tplc="D30ACE82">
      <w:start w:val="1"/>
      <w:numFmt w:val="lowerLetter"/>
      <w:lvlText w:val="%1)"/>
      <w:lvlJc w:val="left"/>
      <w:pPr>
        <w:ind w:left="921" w:hanging="360"/>
      </w:pPr>
      <w:rPr>
        <w:rFonts w:hint="default"/>
        <w:b w:val="0"/>
        <w:bCs/>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5">
    <w:nsid w:val="3BF862A8"/>
    <w:multiLevelType w:val="hybridMultilevel"/>
    <w:tmpl w:val="30AED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1091D"/>
    <w:multiLevelType w:val="hybridMultilevel"/>
    <w:tmpl w:val="9836C66C"/>
    <w:lvl w:ilvl="0" w:tplc="DB167D04">
      <w:start w:val="1"/>
      <w:numFmt w:val="lowerLetter"/>
      <w:lvlText w:val="%1)"/>
      <w:lvlJc w:val="left"/>
      <w:pPr>
        <w:ind w:left="1283" w:hanging="360"/>
      </w:pPr>
      <w:rPr>
        <w:rFonts w:hint="default"/>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27">
    <w:nsid w:val="40540C44"/>
    <w:multiLevelType w:val="hybridMultilevel"/>
    <w:tmpl w:val="5D304D78"/>
    <w:lvl w:ilvl="0" w:tplc="50FE8054">
      <w:start w:val="1"/>
      <w:numFmt w:val="bullet"/>
      <w:lvlText w:val=""/>
      <w:lvlJc w:val="left"/>
      <w:pPr>
        <w:ind w:left="1275" w:hanging="360"/>
      </w:pPr>
      <w:rPr>
        <w:rFonts w:ascii="Wingdings" w:hAnsi="Wingdings" w:hint="default"/>
        <w:color w:val="auto"/>
      </w:rPr>
    </w:lvl>
    <w:lvl w:ilvl="1" w:tplc="08090003">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8">
    <w:nsid w:val="42FE47A3"/>
    <w:multiLevelType w:val="hybridMultilevel"/>
    <w:tmpl w:val="9B0213B6"/>
    <w:lvl w:ilvl="0" w:tplc="7C9E4D58">
      <w:start w:val="1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90240E"/>
    <w:multiLevelType w:val="hybridMultilevel"/>
    <w:tmpl w:val="E5E65CF2"/>
    <w:lvl w:ilvl="0" w:tplc="04090005">
      <w:start w:val="1"/>
      <w:numFmt w:val="bullet"/>
      <w:lvlText w:val=""/>
      <w:lvlJc w:val="left"/>
      <w:pPr>
        <w:ind w:left="921" w:hanging="360"/>
      </w:pPr>
      <w:rPr>
        <w:rFonts w:ascii="Wingdings" w:hAnsi="Wingdings"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30">
    <w:nsid w:val="4CF64D51"/>
    <w:multiLevelType w:val="hybridMultilevel"/>
    <w:tmpl w:val="5DAC02F0"/>
    <w:lvl w:ilvl="0" w:tplc="08090017">
      <w:start w:val="1"/>
      <w:numFmt w:val="lowerLetter"/>
      <w:lvlText w:val="%1)"/>
      <w:lvlJc w:val="left"/>
      <w:pPr>
        <w:ind w:left="921" w:hanging="360"/>
      </w:pPr>
      <w:rPr>
        <w:rFonts w:hint="default"/>
      </w:rPr>
    </w:lvl>
    <w:lvl w:ilvl="1" w:tplc="08090019">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31">
    <w:nsid w:val="4DBD015E"/>
    <w:multiLevelType w:val="hybridMultilevel"/>
    <w:tmpl w:val="6526E83E"/>
    <w:lvl w:ilvl="0" w:tplc="50FE8054">
      <w:start w:val="1"/>
      <w:numFmt w:val="bullet"/>
      <w:lvlText w:val=""/>
      <w:lvlJc w:val="left"/>
      <w:pPr>
        <w:ind w:left="1275" w:hanging="360"/>
      </w:pPr>
      <w:rPr>
        <w:rFonts w:ascii="Wingdings" w:hAnsi="Wingdings" w:hint="default"/>
        <w:color w:val="auto"/>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2">
    <w:nsid w:val="4DC376B7"/>
    <w:multiLevelType w:val="hybridMultilevel"/>
    <w:tmpl w:val="5A48EE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C5527C"/>
    <w:multiLevelType w:val="hybridMultilevel"/>
    <w:tmpl w:val="478C27EA"/>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34">
    <w:nsid w:val="525E36CE"/>
    <w:multiLevelType w:val="hybridMultilevel"/>
    <w:tmpl w:val="4C582336"/>
    <w:lvl w:ilvl="0" w:tplc="04090005">
      <w:start w:val="1"/>
      <w:numFmt w:val="bullet"/>
      <w:lvlText w:val=""/>
      <w:lvlJc w:val="left"/>
      <w:pPr>
        <w:ind w:left="921" w:hanging="360"/>
      </w:pPr>
      <w:rPr>
        <w:rFonts w:ascii="Wingdings" w:hAnsi="Wingdings" w:hint="default"/>
      </w:rPr>
    </w:lvl>
    <w:lvl w:ilvl="1" w:tplc="08090003">
      <w:start w:val="1"/>
      <w:numFmt w:val="bullet"/>
      <w:lvlText w:val="o"/>
      <w:lvlJc w:val="left"/>
      <w:pPr>
        <w:ind w:left="1641" w:hanging="360"/>
      </w:pPr>
      <w:rPr>
        <w:rFonts w:ascii="Courier New" w:hAnsi="Courier New" w:cs="Courier New" w:hint="default"/>
      </w:rPr>
    </w:lvl>
    <w:lvl w:ilvl="2" w:tplc="04090005">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35">
    <w:nsid w:val="52F66370"/>
    <w:multiLevelType w:val="hybridMultilevel"/>
    <w:tmpl w:val="536A6B90"/>
    <w:lvl w:ilvl="0" w:tplc="9F2E2B5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46A2A36"/>
    <w:multiLevelType w:val="hybridMultilevel"/>
    <w:tmpl w:val="4934C52C"/>
    <w:lvl w:ilvl="0" w:tplc="6F720536">
      <w:start w:val="1"/>
      <w:numFmt w:val="lowerRoman"/>
      <w:lvlText w:val="%1)"/>
      <w:lvlJc w:val="left"/>
      <w:pPr>
        <w:tabs>
          <w:tab w:val="num" w:pos="1281"/>
        </w:tabs>
        <w:ind w:left="1281" w:hanging="720"/>
      </w:pPr>
      <w:rPr>
        <w:rFonts w:hint="default"/>
        <w:u w:val="none"/>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7">
    <w:nsid w:val="5D666AD1"/>
    <w:multiLevelType w:val="hybridMultilevel"/>
    <w:tmpl w:val="40DEFCAE"/>
    <w:lvl w:ilvl="0" w:tplc="8228D89A">
      <w:start w:val="1"/>
      <w:numFmt w:val="lowerRoman"/>
      <w:lvlText w:val="%1)"/>
      <w:lvlJc w:val="left"/>
      <w:pPr>
        <w:tabs>
          <w:tab w:val="num" w:pos="1281"/>
        </w:tabs>
        <w:ind w:left="1281" w:hanging="720"/>
      </w:pPr>
      <w:rPr>
        <w:rFonts w:hint="default"/>
      </w:rPr>
    </w:lvl>
    <w:lvl w:ilvl="1" w:tplc="08090019" w:tentative="1">
      <w:start w:val="1"/>
      <w:numFmt w:val="lowerLetter"/>
      <w:lvlText w:val="%2."/>
      <w:lvlJc w:val="left"/>
      <w:pPr>
        <w:tabs>
          <w:tab w:val="num" w:pos="1641"/>
        </w:tabs>
        <w:ind w:left="1641" w:hanging="360"/>
      </w:pPr>
    </w:lvl>
    <w:lvl w:ilvl="2" w:tplc="0809001B" w:tentative="1">
      <w:start w:val="1"/>
      <w:numFmt w:val="lowerRoman"/>
      <w:lvlText w:val="%3."/>
      <w:lvlJc w:val="right"/>
      <w:pPr>
        <w:tabs>
          <w:tab w:val="num" w:pos="2361"/>
        </w:tabs>
        <w:ind w:left="2361" w:hanging="180"/>
      </w:pPr>
    </w:lvl>
    <w:lvl w:ilvl="3" w:tplc="0809000F" w:tentative="1">
      <w:start w:val="1"/>
      <w:numFmt w:val="decimal"/>
      <w:lvlText w:val="%4."/>
      <w:lvlJc w:val="left"/>
      <w:pPr>
        <w:tabs>
          <w:tab w:val="num" w:pos="3081"/>
        </w:tabs>
        <w:ind w:left="3081" w:hanging="360"/>
      </w:pPr>
    </w:lvl>
    <w:lvl w:ilvl="4" w:tplc="08090019" w:tentative="1">
      <w:start w:val="1"/>
      <w:numFmt w:val="lowerLetter"/>
      <w:lvlText w:val="%5."/>
      <w:lvlJc w:val="left"/>
      <w:pPr>
        <w:tabs>
          <w:tab w:val="num" w:pos="3801"/>
        </w:tabs>
        <w:ind w:left="3801" w:hanging="360"/>
      </w:pPr>
    </w:lvl>
    <w:lvl w:ilvl="5" w:tplc="0809001B" w:tentative="1">
      <w:start w:val="1"/>
      <w:numFmt w:val="lowerRoman"/>
      <w:lvlText w:val="%6."/>
      <w:lvlJc w:val="right"/>
      <w:pPr>
        <w:tabs>
          <w:tab w:val="num" w:pos="4521"/>
        </w:tabs>
        <w:ind w:left="4521" w:hanging="180"/>
      </w:pPr>
    </w:lvl>
    <w:lvl w:ilvl="6" w:tplc="0809000F" w:tentative="1">
      <w:start w:val="1"/>
      <w:numFmt w:val="decimal"/>
      <w:lvlText w:val="%7."/>
      <w:lvlJc w:val="left"/>
      <w:pPr>
        <w:tabs>
          <w:tab w:val="num" w:pos="5241"/>
        </w:tabs>
        <w:ind w:left="5241" w:hanging="360"/>
      </w:pPr>
    </w:lvl>
    <w:lvl w:ilvl="7" w:tplc="08090019" w:tentative="1">
      <w:start w:val="1"/>
      <w:numFmt w:val="lowerLetter"/>
      <w:lvlText w:val="%8."/>
      <w:lvlJc w:val="left"/>
      <w:pPr>
        <w:tabs>
          <w:tab w:val="num" w:pos="5961"/>
        </w:tabs>
        <w:ind w:left="5961" w:hanging="360"/>
      </w:pPr>
    </w:lvl>
    <w:lvl w:ilvl="8" w:tplc="0809001B" w:tentative="1">
      <w:start w:val="1"/>
      <w:numFmt w:val="lowerRoman"/>
      <w:lvlText w:val="%9."/>
      <w:lvlJc w:val="right"/>
      <w:pPr>
        <w:tabs>
          <w:tab w:val="num" w:pos="6681"/>
        </w:tabs>
        <w:ind w:left="6681" w:hanging="180"/>
      </w:pPr>
    </w:lvl>
  </w:abstractNum>
  <w:abstractNum w:abstractNumId="38">
    <w:nsid w:val="606D6F77"/>
    <w:multiLevelType w:val="hybridMultilevel"/>
    <w:tmpl w:val="0864628E"/>
    <w:lvl w:ilvl="0" w:tplc="08090001">
      <w:start w:val="1"/>
      <w:numFmt w:val="bullet"/>
      <w:lvlText w:val=""/>
      <w:lvlJc w:val="left"/>
      <w:pPr>
        <w:ind w:left="1275" w:hanging="360"/>
      </w:pPr>
      <w:rPr>
        <w:rFonts w:ascii="Symbol" w:hAnsi="Symbol" w:hint="default"/>
      </w:rPr>
    </w:lvl>
    <w:lvl w:ilvl="1" w:tplc="FCB8A74A">
      <w:start w:val="3"/>
      <w:numFmt w:val="bullet"/>
      <w:lvlText w:val="-"/>
      <w:lvlJc w:val="left"/>
      <w:pPr>
        <w:ind w:left="1995" w:hanging="360"/>
      </w:pPr>
      <w:rPr>
        <w:rFonts w:ascii="Arial" w:eastAsia="Times New Roman" w:hAnsi="Arial" w:cs="Symbol"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9">
    <w:nsid w:val="61C6272B"/>
    <w:multiLevelType w:val="hybridMultilevel"/>
    <w:tmpl w:val="9F9CB61E"/>
    <w:lvl w:ilvl="0" w:tplc="DB167D04">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0">
    <w:nsid w:val="64560E1C"/>
    <w:multiLevelType w:val="hybridMultilevel"/>
    <w:tmpl w:val="1FD8081C"/>
    <w:lvl w:ilvl="0" w:tplc="0D109138">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1">
    <w:nsid w:val="66C67BE6"/>
    <w:multiLevelType w:val="hybridMultilevel"/>
    <w:tmpl w:val="E5CC53A2"/>
    <w:lvl w:ilvl="0" w:tplc="50FE8054">
      <w:start w:val="1"/>
      <w:numFmt w:val="bullet"/>
      <w:lvlText w:val=""/>
      <w:lvlJc w:val="left"/>
      <w:pPr>
        <w:ind w:left="921" w:hanging="360"/>
      </w:pPr>
      <w:rPr>
        <w:rFonts w:ascii="Wingdings" w:hAnsi="Wingdings" w:hint="default"/>
        <w:color w:val="auto"/>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42">
    <w:nsid w:val="6AAE6B3D"/>
    <w:multiLevelType w:val="hybridMultilevel"/>
    <w:tmpl w:val="8E143A80"/>
    <w:lvl w:ilvl="0" w:tplc="DB167D04">
      <w:start w:val="1"/>
      <w:numFmt w:val="lowerLetter"/>
      <w:lvlText w:val="%1)"/>
      <w:lvlJc w:val="left"/>
      <w:pPr>
        <w:ind w:left="1283" w:hanging="360"/>
      </w:pPr>
      <w:rPr>
        <w:rFonts w:hint="default"/>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43">
    <w:nsid w:val="6C95662C"/>
    <w:multiLevelType w:val="hybridMultilevel"/>
    <w:tmpl w:val="54BAEED8"/>
    <w:lvl w:ilvl="0" w:tplc="244A7328">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4">
    <w:nsid w:val="6FE609F8"/>
    <w:multiLevelType w:val="hybridMultilevel"/>
    <w:tmpl w:val="2B12CB1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0D747FD"/>
    <w:multiLevelType w:val="hybridMultilevel"/>
    <w:tmpl w:val="EDDCA4BE"/>
    <w:lvl w:ilvl="0" w:tplc="50FE8054">
      <w:start w:val="1"/>
      <w:numFmt w:val="bullet"/>
      <w:lvlText w:val=""/>
      <w:lvlJc w:val="left"/>
      <w:pPr>
        <w:ind w:left="1275" w:hanging="360"/>
      </w:pPr>
      <w:rPr>
        <w:rFonts w:ascii="Wingdings" w:hAnsi="Wingdings" w:hint="default"/>
        <w:color w:val="auto"/>
      </w:rPr>
    </w:lvl>
    <w:lvl w:ilvl="1" w:tplc="08090003">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6">
    <w:nsid w:val="72A62D80"/>
    <w:multiLevelType w:val="hybridMultilevel"/>
    <w:tmpl w:val="6B004CEE"/>
    <w:lvl w:ilvl="0" w:tplc="08090005">
      <w:start w:val="1"/>
      <w:numFmt w:val="bullet"/>
      <w:lvlText w:val=""/>
      <w:lvlJc w:val="left"/>
      <w:pPr>
        <w:ind w:left="1281" w:hanging="360"/>
      </w:pPr>
      <w:rPr>
        <w:rFonts w:ascii="Wingdings" w:hAnsi="Wingdings"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47">
    <w:nsid w:val="73EF7620"/>
    <w:multiLevelType w:val="hybridMultilevel"/>
    <w:tmpl w:val="FA1E1DD8"/>
    <w:lvl w:ilvl="0" w:tplc="04090005">
      <w:start w:val="1"/>
      <w:numFmt w:val="bullet"/>
      <w:lvlText w:val=""/>
      <w:lvlJc w:val="left"/>
      <w:pPr>
        <w:ind w:left="921" w:hanging="360"/>
      </w:pPr>
      <w:rPr>
        <w:rFonts w:ascii="Wingdings" w:hAnsi="Wingdings" w:hint="default"/>
      </w:rPr>
    </w:lvl>
    <w:lvl w:ilvl="1" w:tplc="08090003">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48">
    <w:nsid w:val="748C689E"/>
    <w:multiLevelType w:val="hybridMultilevel"/>
    <w:tmpl w:val="6B5E61DC"/>
    <w:lvl w:ilvl="0" w:tplc="DB167D04">
      <w:start w:val="1"/>
      <w:numFmt w:val="lowerLetter"/>
      <w:lvlText w:val="%1)"/>
      <w:lvlJc w:val="left"/>
      <w:pPr>
        <w:ind w:left="1283" w:hanging="360"/>
      </w:pPr>
      <w:rPr>
        <w:rFonts w:hint="default"/>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49">
    <w:nsid w:val="7E7E757C"/>
    <w:multiLevelType w:val="hybridMultilevel"/>
    <w:tmpl w:val="C54443B2"/>
    <w:lvl w:ilvl="0" w:tplc="10B2D804">
      <w:start w:val="1"/>
      <w:numFmt w:val="lowerRoman"/>
      <w:lvlText w:val="%1)"/>
      <w:lvlJc w:val="left"/>
      <w:pPr>
        <w:ind w:left="2052" w:hanging="720"/>
      </w:pPr>
      <w:rPr>
        <w:rFonts w:hint="default"/>
      </w:rPr>
    </w:lvl>
    <w:lvl w:ilvl="1" w:tplc="08090019" w:tentative="1">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num w:numId="1">
    <w:abstractNumId w:val="5"/>
  </w:num>
  <w:num w:numId="2">
    <w:abstractNumId w:val="13"/>
  </w:num>
  <w:num w:numId="3">
    <w:abstractNumId w:val="37"/>
  </w:num>
  <w:num w:numId="4">
    <w:abstractNumId w:val="35"/>
  </w:num>
  <w:num w:numId="5">
    <w:abstractNumId w:val="20"/>
  </w:num>
  <w:num w:numId="6">
    <w:abstractNumId w:val="28"/>
  </w:num>
  <w:num w:numId="7">
    <w:abstractNumId w:val="36"/>
  </w:num>
  <w:num w:numId="8">
    <w:abstractNumId w:val="0"/>
  </w:num>
  <w:num w:numId="9">
    <w:abstractNumId w:val="25"/>
  </w:num>
  <w:num w:numId="10">
    <w:abstractNumId w:val="11"/>
  </w:num>
  <w:num w:numId="11">
    <w:abstractNumId w:val="22"/>
  </w:num>
  <w:num w:numId="12">
    <w:abstractNumId w:val="4"/>
  </w:num>
  <w:num w:numId="13">
    <w:abstractNumId w:val="44"/>
  </w:num>
  <w:num w:numId="14">
    <w:abstractNumId w:val="18"/>
  </w:num>
  <w:num w:numId="15">
    <w:abstractNumId w:val="34"/>
  </w:num>
  <w:num w:numId="16">
    <w:abstractNumId w:val="47"/>
  </w:num>
  <w:num w:numId="17">
    <w:abstractNumId w:val="15"/>
  </w:num>
  <w:num w:numId="18">
    <w:abstractNumId w:val="49"/>
  </w:num>
  <w:num w:numId="19">
    <w:abstractNumId w:val="30"/>
  </w:num>
  <w:num w:numId="20">
    <w:abstractNumId w:val="7"/>
  </w:num>
  <w:num w:numId="21">
    <w:abstractNumId w:val="16"/>
  </w:num>
  <w:num w:numId="22">
    <w:abstractNumId w:val="12"/>
  </w:num>
  <w:num w:numId="23">
    <w:abstractNumId w:val="14"/>
  </w:num>
  <w:num w:numId="24">
    <w:abstractNumId w:val="9"/>
  </w:num>
  <w:num w:numId="25">
    <w:abstractNumId w:val="24"/>
  </w:num>
  <w:num w:numId="26">
    <w:abstractNumId w:val="39"/>
  </w:num>
  <w:num w:numId="27">
    <w:abstractNumId w:val="27"/>
  </w:num>
  <w:num w:numId="28">
    <w:abstractNumId w:val="38"/>
  </w:num>
  <w:num w:numId="29">
    <w:abstractNumId w:val="45"/>
  </w:num>
  <w:num w:numId="30">
    <w:abstractNumId w:val="31"/>
  </w:num>
  <w:num w:numId="31">
    <w:abstractNumId w:val="8"/>
  </w:num>
  <w:num w:numId="32">
    <w:abstractNumId w:val="6"/>
  </w:num>
  <w:num w:numId="33">
    <w:abstractNumId w:val="43"/>
  </w:num>
  <w:num w:numId="34">
    <w:abstractNumId w:val="32"/>
  </w:num>
  <w:num w:numId="35">
    <w:abstractNumId w:val="40"/>
  </w:num>
  <w:num w:numId="36">
    <w:abstractNumId w:val="41"/>
  </w:num>
  <w:num w:numId="37">
    <w:abstractNumId w:val="33"/>
  </w:num>
  <w:num w:numId="38">
    <w:abstractNumId w:val="17"/>
  </w:num>
  <w:num w:numId="39">
    <w:abstractNumId w:val="46"/>
  </w:num>
  <w:num w:numId="40">
    <w:abstractNumId w:val="1"/>
  </w:num>
  <w:num w:numId="41">
    <w:abstractNumId w:val="21"/>
  </w:num>
  <w:num w:numId="42">
    <w:abstractNumId w:val="3"/>
  </w:num>
  <w:num w:numId="43">
    <w:abstractNumId w:val="29"/>
  </w:num>
  <w:num w:numId="44">
    <w:abstractNumId w:val="23"/>
  </w:num>
  <w:num w:numId="45">
    <w:abstractNumId w:val="10"/>
  </w:num>
  <w:num w:numId="46">
    <w:abstractNumId w:val="26"/>
  </w:num>
  <w:num w:numId="47">
    <w:abstractNumId w:val="2"/>
  </w:num>
  <w:num w:numId="48">
    <w:abstractNumId w:val="48"/>
  </w:num>
  <w:num w:numId="49">
    <w:abstractNumId w:val="42"/>
  </w:num>
  <w:num w:numId="5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
  <w:rsids>
    <w:rsidRoot w:val="00AF3AF7"/>
    <w:rsid w:val="00002E73"/>
    <w:rsid w:val="000035E6"/>
    <w:rsid w:val="000044EB"/>
    <w:rsid w:val="00004A62"/>
    <w:rsid w:val="00005658"/>
    <w:rsid w:val="000103A4"/>
    <w:rsid w:val="000112AD"/>
    <w:rsid w:val="000113DF"/>
    <w:rsid w:val="00011E30"/>
    <w:rsid w:val="000122B5"/>
    <w:rsid w:val="000130C5"/>
    <w:rsid w:val="00013D3B"/>
    <w:rsid w:val="00014BED"/>
    <w:rsid w:val="00015A95"/>
    <w:rsid w:val="00015C06"/>
    <w:rsid w:val="00016417"/>
    <w:rsid w:val="00020080"/>
    <w:rsid w:val="000209DF"/>
    <w:rsid w:val="00020A5E"/>
    <w:rsid w:val="000217F5"/>
    <w:rsid w:val="00022B8F"/>
    <w:rsid w:val="000230DB"/>
    <w:rsid w:val="00023216"/>
    <w:rsid w:val="000278D4"/>
    <w:rsid w:val="0003085D"/>
    <w:rsid w:val="00030C18"/>
    <w:rsid w:val="00030D84"/>
    <w:rsid w:val="0003230F"/>
    <w:rsid w:val="00033F01"/>
    <w:rsid w:val="00036AC1"/>
    <w:rsid w:val="00037957"/>
    <w:rsid w:val="000403B2"/>
    <w:rsid w:val="0004126C"/>
    <w:rsid w:val="000412B0"/>
    <w:rsid w:val="000446AA"/>
    <w:rsid w:val="00046ADC"/>
    <w:rsid w:val="000479E2"/>
    <w:rsid w:val="00047B86"/>
    <w:rsid w:val="00052B63"/>
    <w:rsid w:val="00053291"/>
    <w:rsid w:val="000537E5"/>
    <w:rsid w:val="000542C9"/>
    <w:rsid w:val="00054747"/>
    <w:rsid w:val="000601FA"/>
    <w:rsid w:val="000619E2"/>
    <w:rsid w:val="000629B9"/>
    <w:rsid w:val="00063AFF"/>
    <w:rsid w:val="00063D17"/>
    <w:rsid w:val="00064886"/>
    <w:rsid w:val="00064C21"/>
    <w:rsid w:val="00065427"/>
    <w:rsid w:val="000654C8"/>
    <w:rsid w:val="0006683A"/>
    <w:rsid w:val="00071756"/>
    <w:rsid w:val="000737D0"/>
    <w:rsid w:val="00074E87"/>
    <w:rsid w:val="00075E5D"/>
    <w:rsid w:val="00076E43"/>
    <w:rsid w:val="0007707B"/>
    <w:rsid w:val="00077F18"/>
    <w:rsid w:val="00081D2E"/>
    <w:rsid w:val="00082308"/>
    <w:rsid w:val="000845C3"/>
    <w:rsid w:val="00086199"/>
    <w:rsid w:val="00086840"/>
    <w:rsid w:val="00091462"/>
    <w:rsid w:val="00092213"/>
    <w:rsid w:val="000936D6"/>
    <w:rsid w:val="00093811"/>
    <w:rsid w:val="000951D2"/>
    <w:rsid w:val="00097062"/>
    <w:rsid w:val="00097732"/>
    <w:rsid w:val="000977A1"/>
    <w:rsid w:val="00097AFA"/>
    <w:rsid w:val="00097B3D"/>
    <w:rsid w:val="000A0018"/>
    <w:rsid w:val="000A0693"/>
    <w:rsid w:val="000A1214"/>
    <w:rsid w:val="000A17B3"/>
    <w:rsid w:val="000A35AE"/>
    <w:rsid w:val="000A4675"/>
    <w:rsid w:val="000A791C"/>
    <w:rsid w:val="000A7C7A"/>
    <w:rsid w:val="000B0498"/>
    <w:rsid w:val="000B0A7A"/>
    <w:rsid w:val="000B0C64"/>
    <w:rsid w:val="000B1386"/>
    <w:rsid w:val="000B13EB"/>
    <w:rsid w:val="000B29D1"/>
    <w:rsid w:val="000B44E4"/>
    <w:rsid w:val="000B5C98"/>
    <w:rsid w:val="000B6C53"/>
    <w:rsid w:val="000C1772"/>
    <w:rsid w:val="000C2721"/>
    <w:rsid w:val="000C4137"/>
    <w:rsid w:val="000C5359"/>
    <w:rsid w:val="000C5439"/>
    <w:rsid w:val="000C7797"/>
    <w:rsid w:val="000D0B78"/>
    <w:rsid w:val="000D2169"/>
    <w:rsid w:val="000D32AE"/>
    <w:rsid w:val="000D5046"/>
    <w:rsid w:val="000E013F"/>
    <w:rsid w:val="000E0623"/>
    <w:rsid w:val="000E0B17"/>
    <w:rsid w:val="000E0EB2"/>
    <w:rsid w:val="000E1018"/>
    <w:rsid w:val="000E1B64"/>
    <w:rsid w:val="000E1D3C"/>
    <w:rsid w:val="000E2644"/>
    <w:rsid w:val="000E3231"/>
    <w:rsid w:val="000E3C95"/>
    <w:rsid w:val="000E3E4E"/>
    <w:rsid w:val="000E5032"/>
    <w:rsid w:val="000E5D3B"/>
    <w:rsid w:val="000E6916"/>
    <w:rsid w:val="000E7559"/>
    <w:rsid w:val="000F0C98"/>
    <w:rsid w:val="000F16D3"/>
    <w:rsid w:val="000F1D3A"/>
    <w:rsid w:val="000F258E"/>
    <w:rsid w:val="000F2BBA"/>
    <w:rsid w:val="000F3F19"/>
    <w:rsid w:val="000F4482"/>
    <w:rsid w:val="000F7094"/>
    <w:rsid w:val="000F774B"/>
    <w:rsid w:val="000F7912"/>
    <w:rsid w:val="0010015F"/>
    <w:rsid w:val="00100496"/>
    <w:rsid w:val="00101333"/>
    <w:rsid w:val="00101444"/>
    <w:rsid w:val="00101DBF"/>
    <w:rsid w:val="00101EF1"/>
    <w:rsid w:val="00104F0F"/>
    <w:rsid w:val="00105532"/>
    <w:rsid w:val="00105CED"/>
    <w:rsid w:val="00106B2B"/>
    <w:rsid w:val="00107347"/>
    <w:rsid w:val="00107ED2"/>
    <w:rsid w:val="00112C57"/>
    <w:rsid w:val="001136E4"/>
    <w:rsid w:val="00113950"/>
    <w:rsid w:val="001141D5"/>
    <w:rsid w:val="001145FC"/>
    <w:rsid w:val="00114E0A"/>
    <w:rsid w:val="0011589C"/>
    <w:rsid w:val="00115D37"/>
    <w:rsid w:val="001162A2"/>
    <w:rsid w:val="00117D20"/>
    <w:rsid w:val="00121FBB"/>
    <w:rsid w:val="001242D9"/>
    <w:rsid w:val="00126595"/>
    <w:rsid w:val="00130233"/>
    <w:rsid w:val="00130B5F"/>
    <w:rsid w:val="00133BD7"/>
    <w:rsid w:val="0013676B"/>
    <w:rsid w:val="001373AE"/>
    <w:rsid w:val="00137E13"/>
    <w:rsid w:val="00145CAC"/>
    <w:rsid w:val="00145EE6"/>
    <w:rsid w:val="001471D0"/>
    <w:rsid w:val="001503B8"/>
    <w:rsid w:val="0015221C"/>
    <w:rsid w:val="00153AA4"/>
    <w:rsid w:val="0015530A"/>
    <w:rsid w:val="00155CD6"/>
    <w:rsid w:val="00155D2C"/>
    <w:rsid w:val="001561C9"/>
    <w:rsid w:val="00157CD9"/>
    <w:rsid w:val="00160BF9"/>
    <w:rsid w:val="00161552"/>
    <w:rsid w:val="0016341A"/>
    <w:rsid w:val="001656AE"/>
    <w:rsid w:val="00165D3B"/>
    <w:rsid w:val="00166F7F"/>
    <w:rsid w:val="00167526"/>
    <w:rsid w:val="00167DD8"/>
    <w:rsid w:val="0017046B"/>
    <w:rsid w:val="001706B6"/>
    <w:rsid w:val="001712D7"/>
    <w:rsid w:val="001712EF"/>
    <w:rsid w:val="001714C2"/>
    <w:rsid w:val="00171938"/>
    <w:rsid w:val="00173D04"/>
    <w:rsid w:val="001762E8"/>
    <w:rsid w:val="00176300"/>
    <w:rsid w:val="00176C58"/>
    <w:rsid w:val="001773D4"/>
    <w:rsid w:val="00181443"/>
    <w:rsid w:val="001829FC"/>
    <w:rsid w:val="00182DE2"/>
    <w:rsid w:val="0018351D"/>
    <w:rsid w:val="00184002"/>
    <w:rsid w:val="00184DAE"/>
    <w:rsid w:val="00186823"/>
    <w:rsid w:val="00191E48"/>
    <w:rsid w:val="0019248C"/>
    <w:rsid w:val="0019282D"/>
    <w:rsid w:val="001932A0"/>
    <w:rsid w:val="001932F4"/>
    <w:rsid w:val="00193AAF"/>
    <w:rsid w:val="00194D80"/>
    <w:rsid w:val="0019645A"/>
    <w:rsid w:val="00196776"/>
    <w:rsid w:val="00196FF2"/>
    <w:rsid w:val="001A080E"/>
    <w:rsid w:val="001A0B84"/>
    <w:rsid w:val="001A3075"/>
    <w:rsid w:val="001A32C2"/>
    <w:rsid w:val="001A3454"/>
    <w:rsid w:val="001A39D6"/>
    <w:rsid w:val="001B4584"/>
    <w:rsid w:val="001B5369"/>
    <w:rsid w:val="001C00BB"/>
    <w:rsid w:val="001C5390"/>
    <w:rsid w:val="001C59C4"/>
    <w:rsid w:val="001C7CA2"/>
    <w:rsid w:val="001D0A77"/>
    <w:rsid w:val="001D2019"/>
    <w:rsid w:val="001D25DD"/>
    <w:rsid w:val="001D27DD"/>
    <w:rsid w:val="001D2E74"/>
    <w:rsid w:val="001D2EBD"/>
    <w:rsid w:val="001D3825"/>
    <w:rsid w:val="001D3AC7"/>
    <w:rsid w:val="001D4BC6"/>
    <w:rsid w:val="001D56D0"/>
    <w:rsid w:val="001D7286"/>
    <w:rsid w:val="001E2DE8"/>
    <w:rsid w:val="001E3A37"/>
    <w:rsid w:val="001E5D87"/>
    <w:rsid w:val="001E6839"/>
    <w:rsid w:val="001E747D"/>
    <w:rsid w:val="001F0F28"/>
    <w:rsid w:val="001F14D7"/>
    <w:rsid w:val="001F1B0B"/>
    <w:rsid w:val="001F68DD"/>
    <w:rsid w:val="001F6F66"/>
    <w:rsid w:val="002004A5"/>
    <w:rsid w:val="002008CA"/>
    <w:rsid w:val="002020F1"/>
    <w:rsid w:val="00204F9E"/>
    <w:rsid w:val="00205006"/>
    <w:rsid w:val="00205B46"/>
    <w:rsid w:val="00205B5E"/>
    <w:rsid w:val="00206531"/>
    <w:rsid w:val="00206E36"/>
    <w:rsid w:val="0020740E"/>
    <w:rsid w:val="002105AA"/>
    <w:rsid w:val="002109F8"/>
    <w:rsid w:val="002118BA"/>
    <w:rsid w:val="002128C7"/>
    <w:rsid w:val="00213273"/>
    <w:rsid w:val="00213EE3"/>
    <w:rsid w:val="002141D4"/>
    <w:rsid w:val="00214208"/>
    <w:rsid w:val="002143AC"/>
    <w:rsid w:val="002144B0"/>
    <w:rsid w:val="0021489A"/>
    <w:rsid w:val="00216A00"/>
    <w:rsid w:val="00220398"/>
    <w:rsid w:val="002209CA"/>
    <w:rsid w:val="00220DFF"/>
    <w:rsid w:val="00221B34"/>
    <w:rsid w:val="002221C8"/>
    <w:rsid w:val="00223309"/>
    <w:rsid w:val="00223648"/>
    <w:rsid w:val="00223C07"/>
    <w:rsid w:val="0022565E"/>
    <w:rsid w:val="002256C5"/>
    <w:rsid w:val="00226BD6"/>
    <w:rsid w:val="00230E17"/>
    <w:rsid w:val="00233518"/>
    <w:rsid w:val="0023397A"/>
    <w:rsid w:val="00233C3C"/>
    <w:rsid w:val="002367C6"/>
    <w:rsid w:val="00240219"/>
    <w:rsid w:val="00240D4C"/>
    <w:rsid w:val="002417F3"/>
    <w:rsid w:val="00241830"/>
    <w:rsid w:val="0024291F"/>
    <w:rsid w:val="002456ED"/>
    <w:rsid w:val="00246F38"/>
    <w:rsid w:val="002477EA"/>
    <w:rsid w:val="0024784F"/>
    <w:rsid w:val="002504E0"/>
    <w:rsid w:val="00252809"/>
    <w:rsid w:val="002541C9"/>
    <w:rsid w:val="00254FC7"/>
    <w:rsid w:val="00256A94"/>
    <w:rsid w:val="00257616"/>
    <w:rsid w:val="00264950"/>
    <w:rsid w:val="00264BEF"/>
    <w:rsid w:val="00266B6E"/>
    <w:rsid w:val="002700E2"/>
    <w:rsid w:val="0027176D"/>
    <w:rsid w:val="00271C43"/>
    <w:rsid w:val="002725E7"/>
    <w:rsid w:val="00272EF4"/>
    <w:rsid w:val="002751B0"/>
    <w:rsid w:val="00276947"/>
    <w:rsid w:val="002813CE"/>
    <w:rsid w:val="00282584"/>
    <w:rsid w:val="00285452"/>
    <w:rsid w:val="00285BB6"/>
    <w:rsid w:val="002867CD"/>
    <w:rsid w:val="00286982"/>
    <w:rsid w:val="00286B77"/>
    <w:rsid w:val="00292F84"/>
    <w:rsid w:val="00293B0C"/>
    <w:rsid w:val="00296163"/>
    <w:rsid w:val="00297B08"/>
    <w:rsid w:val="002A0822"/>
    <w:rsid w:val="002A3C75"/>
    <w:rsid w:val="002A5D83"/>
    <w:rsid w:val="002A704C"/>
    <w:rsid w:val="002A72D3"/>
    <w:rsid w:val="002B0462"/>
    <w:rsid w:val="002B17BE"/>
    <w:rsid w:val="002B3928"/>
    <w:rsid w:val="002B5625"/>
    <w:rsid w:val="002B5BFB"/>
    <w:rsid w:val="002B7571"/>
    <w:rsid w:val="002B79D4"/>
    <w:rsid w:val="002B7DFE"/>
    <w:rsid w:val="002C0A0F"/>
    <w:rsid w:val="002C0C40"/>
    <w:rsid w:val="002C1A56"/>
    <w:rsid w:val="002C21E6"/>
    <w:rsid w:val="002C26B3"/>
    <w:rsid w:val="002C30E0"/>
    <w:rsid w:val="002C311F"/>
    <w:rsid w:val="002C3712"/>
    <w:rsid w:val="002C3F68"/>
    <w:rsid w:val="002C6201"/>
    <w:rsid w:val="002C69CA"/>
    <w:rsid w:val="002C6AF3"/>
    <w:rsid w:val="002C7CF8"/>
    <w:rsid w:val="002D0B3C"/>
    <w:rsid w:val="002D2F65"/>
    <w:rsid w:val="002D3674"/>
    <w:rsid w:val="002D447F"/>
    <w:rsid w:val="002D44B6"/>
    <w:rsid w:val="002D4741"/>
    <w:rsid w:val="002D5588"/>
    <w:rsid w:val="002D5A5A"/>
    <w:rsid w:val="002E4AAB"/>
    <w:rsid w:val="002E539C"/>
    <w:rsid w:val="002E78C8"/>
    <w:rsid w:val="002E79F4"/>
    <w:rsid w:val="002E7E02"/>
    <w:rsid w:val="002F07EB"/>
    <w:rsid w:val="002F11B1"/>
    <w:rsid w:val="002F129A"/>
    <w:rsid w:val="002F326B"/>
    <w:rsid w:val="002F55E4"/>
    <w:rsid w:val="002F6CCD"/>
    <w:rsid w:val="002F7B83"/>
    <w:rsid w:val="00301B92"/>
    <w:rsid w:val="00302184"/>
    <w:rsid w:val="0030276A"/>
    <w:rsid w:val="003028F4"/>
    <w:rsid w:val="00304196"/>
    <w:rsid w:val="00305DC4"/>
    <w:rsid w:val="003065D9"/>
    <w:rsid w:val="003070C9"/>
    <w:rsid w:val="003105C8"/>
    <w:rsid w:val="00310B6B"/>
    <w:rsid w:val="003110E5"/>
    <w:rsid w:val="003113A8"/>
    <w:rsid w:val="00311C07"/>
    <w:rsid w:val="00311F55"/>
    <w:rsid w:val="003127A4"/>
    <w:rsid w:val="00313462"/>
    <w:rsid w:val="003139C7"/>
    <w:rsid w:val="00315315"/>
    <w:rsid w:val="003153D0"/>
    <w:rsid w:val="003160E9"/>
    <w:rsid w:val="003176E0"/>
    <w:rsid w:val="0032098A"/>
    <w:rsid w:val="0032145D"/>
    <w:rsid w:val="00321781"/>
    <w:rsid w:val="00322EBD"/>
    <w:rsid w:val="00324B7E"/>
    <w:rsid w:val="00325302"/>
    <w:rsid w:val="00325DE4"/>
    <w:rsid w:val="00326320"/>
    <w:rsid w:val="00327470"/>
    <w:rsid w:val="003335EC"/>
    <w:rsid w:val="00333F65"/>
    <w:rsid w:val="003348DB"/>
    <w:rsid w:val="003351D1"/>
    <w:rsid w:val="003356BF"/>
    <w:rsid w:val="003358B7"/>
    <w:rsid w:val="0033622A"/>
    <w:rsid w:val="003365CE"/>
    <w:rsid w:val="00337BCF"/>
    <w:rsid w:val="00337F91"/>
    <w:rsid w:val="00340714"/>
    <w:rsid w:val="00341A0A"/>
    <w:rsid w:val="003427EA"/>
    <w:rsid w:val="0034357B"/>
    <w:rsid w:val="00345777"/>
    <w:rsid w:val="00345FA9"/>
    <w:rsid w:val="0035077D"/>
    <w:rsid w:val="00350BF7"/>
    <w:rsid w:val="0035225E"/>
    <w:rsid w:val="00352674"/>
    <w:rsid w:val="003537DC"/>
    <w:rsid w:val="00355012"/>
    <w:rsid w:val="00355183"/>
    <w:rsid w:val="00355C23"/>
    <w:rsid w:val="0035601E"/>
    <w:rsid w:val="0035670B"/>
    <w:rsid w:val="00356EB8"/>
    <w:rsid w:val="00360F44"/>
    <w:rsid w:val="00362BB7"/>
    <w:rsid w:val="003664BB"/>
    <w:rsid w:val="003674DD"/>
    <w:rsid w:val="003677DB"/>
    <w:rsid w:val="00367FC0"/>
    <w:rsid w:val="00370E15"/>
    <w:rsid w:val="00371A14"/>
    <w:rsid w:val="003723B6"/>
    <w:rsid w:val="003725E1"/>
    <w:rsid w:val="0037368E"/>
    <w:rsid w:val="003745B6"/>
    <w:rsid w:val="00375322"/>
    <w:rsid w:val="003765BA"/>
    <w:rsid w:val="00376BF3"/>
    <w:rsid w:val="00380F03"/>
    <w:rsid w:val="0038152D"/>
    <w:rsid w:val="003828B2"/>
    <w:rsid w:val="00382B46"/>
    <w:rsid w:val="00382FCF"/>
    <w:rsid w:val="003842E0"/>
    <w:rsid w:val="003844C1"/>
    <w:rsid w:val="00385844"/>
    <w:rsid w:val="0038587E"/>
    <w:rsid w:val="00387A07"/>
    <w:rsid w:val="00387BC8"/>
    <w:rsid w:val="0039057C"/>
    <w:rsid w:val="00390C92"/>
    <w:rsid w:val="003925FB"/>
    <w:rsid w:val="0039628E"/>
    <w:rsid w:val="0039731E"/>
    <w:rsid w:val="003975B3"/>
    <w:rsid w:val="0039789A"/>
    <w:rsid w:val="00397D2B"/>
    <w:rsid w:val="00397E45"/>
    <w:rsid w:val="003A1E86"/>
    <w:rsid w:val="003A3FFB"/>
    <w:rsid w:val="003A46B9"/>
    <w:rsid w:val="003A4C9B"/>
    <w:rsid w:val="003A542B"/>
    <w:rsid w:val="003A6C38"/>
    <w:rsid w:val="003A77BF"/>
    <w:rsid w:val="003B039B"/>
    <w:rsid w:val="003B057E"/>
    <w:rsid w:val="003B19AF"/>
    <w:rsid w:val="003B1A9A"/>
    <w:rsid w:val="003B377B"/>
    <w:rsid w:val="003B3EF0"/>
    <w:rsid w:val="003B42A3"/>
    <w:rsid w:val="003B5212"/>
    <w:rsid w:val="003B5705"/>
    <w:rsid w:val="003B595F"/>
    <w:rsid w:val="003B60B3"/>
    <w:rsid w:val="003B6981"/>
    <w:rsid w:val="003B6F71"/>
    <w:rsid w:val="003B74DF"/>
    <w:rsid w:val="003C0076"/>
    <w:rsid w:val="003C242A"/>
    <w:rsid w:val="003C446F"/>
    <w:rsid w:val="003C5241"/>
    <w:rsid w:val="003C5819"/>
    <w:rsid w:val="003C64D7"/>
    <w:rsid w:val="003C78F2"/>
    <w:rsid w:val="003C7A51"/>
    <w:rsid w:val="003D0035"/>
    <w:rsid w:val="003D1751"/>
    <w:rsid w:val="003D4B16"/>
    <w:rsid w:val="003D4D3E"/>
    <w:rsid w:val="003D6068"/>
    <w:rsid w:val="003D60A1"/>
    <w:rsid w:val="003D654D"/>
    <w:rsid w:val="003D7B52"/>
    <w:rsid w:val="003E17A4"/>
    <w:rsid w:val="003E296B"/>
    <w:rsid w:val="003E3AB3"/>
    <w:rsid w:val="003E421B"/>
    <w:rsid w:val="003E6837"/>
    <w:rsid w:val="003E70FA"/>
    <w:rsid w:val="003E7169"/>
    <w:rsid w:val="003E73DB"/>
    <w:rsid w:val="003E7BB8"/>
    <w:rsid w:val="003E7E59"/>
    <w:rsid w:val="003F1E26"/>
    <w:rsid w:val="003F28B9"/>
    <w:rsid w:val="003F3089"/>
    <w:rsid w:val="003F3295"/>
    <w:rsid w:val="003F4300"/>
    <w:rsid w:val="003F463D"/>
    <w:rsid w:val="003F4800"/>
    <w:rsid w:val="003F538C"/>
    <w:rsid w:val="003F5C51"/>
    <w:rsid w:val="003F5DBD"/>
    <w:rsid w:val="003F7465"/>
    <w:rsid w:val="003F7C43"/>
    <w:rsid w:val="00403B3D"/>
    <w:rsid w:val="00404868"/>
    <w:rsid w:val="00404E27"/>
    <w:rsid w:val="00405773"/>
    <w:rsid w:val="00405A8E"/>
    <w:rsid w:val="00407983"/>
    <w:rsid w:val="00410C4E"/>
    <w:rsid w:val="004118C6"/>
    <w:rsid w:val="004133A3"/>
    <w:rsid w:val="00413C32"/>
    <w:rsid w:val="00414316"/>
    <w:rsid w:val="004148EF"/>
    <w:rsid w:val="00415D7C"/>
    <w:rsid w:val="00416A3A"/>
    <w:rsid w:val="00416BAD"/>
    <w:rsid w:val="00417468"/>
    <w:rsid w:val="00420699"/>
    <w:rsid w:val="00420C66"/>
    <w:rsid w:val="004223AE"/>
    <w:rsid w:val="0042542A"/>
    <w:rsid w:val="00427B11"/>
    <w:rsid w:val="00430A1D"/>
    <w:rsid w:val="00432CFC"/>
    <w:rsid w:val="00432D74"/>
    <w:rsid w:val="004361C2"/>
    <w:rsid w:val="00436572"/>
    <w:rsid w:val="00437F2C"/>
    <w:rsid w:val="00443333"/>
    <w:rsid w:val="0044620D"/>
    <w:rsid w:val="004463F1"/>
    <w:rsid w:val="0044686C"/>
    <w:rsid w:val="0044711D"/>
    <w:rsid w:val="00447163"/>
    <w:rsid w:val="00447350"/>
    <w:rsid w:val="004519C5"/>
    <w:rsid w:val="00451D65"/>
    <w:rsid w:val="00453538"/>
    <w:rsid w:val="00454836"/>
    <w:rsid w:val="0045556E"/>
    <w:rsid w:val="004557CB"/>
    <w:rsid w:val="00456A49"/>
    <w:rsid w:val="0045760E"/>
    <w:rsid w:val="00462630"/>
    <w:rsid w:val="00462BED"/>
    <w:rsid w:val="00465124"/>
    <w:rsid w:val="004660EF"/>
    <w:rsid w:val="004661B4"/>
    <w:rsid w:val="00466E70"/>
    <w:rsid w:val="004706D8"/>
    <w:rsid w:val="00470A97"/>
    <w:rsid w:val="00470C06"/>
    <w:rsid w:val="00472112"/>
    <w:rsid w:val="00472381"/>
    <w:rsid w:val="004733C7"/>
    <w:rsid w:val="00473A27"/>
    <w:rsid w:val="00474B6C"/>
    <w:rsid w:val="004762A7"/>
    <w:rsid w:val="004767B9"/>
    <w:rsid w:val="0048150A"/>
    <w:rsid w:val="0048184E"/>
    <w:rsid w:val="004821DE"/>
    <w:rsid w:val="00484C54"/>
    <w:rsid w:val="00484EF9"/>
    <w:rsid w:val="0048565B"/>
    <w:rsid w:val="00485C29"/>
    <w:rsid w:val="004864D9"/>
    <w:rsid w:val="004864DB"/>
    <w:rsid w:val="00486643"/>
    <w:rsid w:val="00486688"/>
    <w:rsid w:val="00487371"/>
    <w:rsid w:val="00487888"/>
    <w:rsid w:val="00490E63"/>
    <w:rsid w:val="00492F94"/>
    <w:rsid w:val="00493894"/>
    <w:rsid w:val="004947D3"/>
    <w:rsid w:val="00494BC3"/>
    <w:rsid w:val="004955E2"/>
    <w:rsid w:val="00496AD2"/>
    <w:rsid w:val="00496C1D"/>
    <w:rsid w:val="00497652"/>
    <w:rsid w:val="004A0A21"/>
    <w:rsid w:val="004A209C"/>
    <w:rsid w:val="004A3A9F"/>
    <w:rsid w:val="004A559A"/>
    <w:rsid w:val="004A65EA"/>
    <w:rsid w:val="004A6782"/>
    <w:rsid w:val="004A6C16"/>
    <w:rsid w:val="004A7214"/>
    <w:rsid w:val="004A72FE"/>
    <w:rsid w:val="004A7594"/>
    <w:rsid w:val="004A79E9"/>
    <w:rsid w:val="004B10A9"/>
    <w:rsid w:val="004B1937"/>
    <w:rsid w:val="004B3467"/>
    <w:rsid w:val="004B3B79"/>
    <w:rsid w:val="004B481D"/>
    <w:rsid w:val="004B4A0F"/>
    <w:rsid w:val="004B620B"/>
    <w:rsid w:val="004B75D0"/>
    <w:rsid w:val="004C219A"/>
    <w:rsid w:val="004C298A"/>
    <w:rsid w:val="004C3BE5"/>
    <w:rsid w:val="004C49A3"/>
    <w:rsid w:val="004C4C85"/>
    <w:rsid w:val="004D1940"/>
    <w:rsid w:val="004D2F18"/>
    <w:rsid w:val="004E0448"/>
    <w:rsid w:val="004E1E03"/>
    <w:rsid w:val="004E242B"/>
    <w:rsid w:val="004E2574"/>
    <w:rsid w:val="004E3A22"/>
    <w:rsid w:val="004E3F8F"/>
    <w:rsid w:val="004E4F92"/>
    <w:rsid w:val="004E611B"/>
    <w:rsid w:val="004E6617"/>
    <w:rsid w:val="004E693F"/>
    <w:rsid w:val="004E7AD9"/>
    <w:rsid w:val="004F0FD9"/>
    <w:rsid w:val="004F19BC"/>
    <w:rsid w:val="004F1ECA"/>
    <w:rsid w:val="004F2F6F"/>
    <w:rsid w:val="004F34F2"/>
    <w:rsid w:val="004F5F99"/>
    <w:rsid w:val="005029C2"/>
    <w:rsid w:val="005030E9"/>
    <w:rsid w:val="00504966"/>
    <w:rsid w:val="005053C1"/>
    <w:rsid w:val="00507281"/>
    <w:rsid w:val="00511ED9"/>
    <w:rsid w:val="00512060"/>
    <w:rsid w:val="005124AC"/>
    <w:rsid w:val="005134CE"/>
    <w:rsid w:val="005139DF"/>
    <w:rsid w:val="00513C67"/>
    <w:rsid w:val="00513EAE"/>
    <w:rsid w:val="005141B8"/>
    <w:rsid w:val="00517CC4"/>
    <w:rsid w:val="00520759"/>
    <w:rsid w:val="00522497"/>
    <w:rsid w:val="0052340A"/>
    <w:rsid w:val="00523479"/>
    <w:rsid w:val="00523987"/>
    <w:rsid w:val="005270C2"/>
    <w:rsid w:val="00532046"/>
    <w:rsid w:val="00532BDF"/>
    <w:rsid w:val="005345E8"/>
    <w:rsid w:val="00535BED"/>
    <w:rsid w:val="005366E7"/>
    <w:rsid w:val="0053697E"/>
    <w:rsid w:val="00537E22"/>
    <w:rsid w:val="00537E46"/>
    <w:rsid w:val="0054108C"/>
    <w:rsid w:val="00543D3B"/>
    <w:rsid w:val="00545EDB"/>
    <w:rsid w:val="005519E9"/>
    <w:rsid w:val="00551BC1"/>
    <w:rsid w:val="005527BF"/>
    <w:rsid w:val="005530A1"/>
    <w:rsid w:val="0055487A"/>
    <w:rsid w:val="005554B5"/>
    <w:rsid w:val="00560440"/>
    <w:rsid w:val="00562324"/>
    <w:rsid w:val="00562A3A"/>
    <w:rsid w:val="005635C6"/>
    <w:rsid w:val="00563A28"/>
    <w:rsid w:val="005656F9"/>
    <w:rsid w:val="00565A42"/>
    <w:rsid w:val="00571668"/>
    <w:rsid w:val="005730AE"/>
    <w:rsid w:val="00573317"/>
    <w:rsid w:val="00574114"/>
    <w:rsid w:val="00575322"/>
    <w:rsid w:val="005758BF"/>
    <w:rsid w:val="00581C72"/>
    <w:rsid w:val="005832A8"/>
    <w:rsid w:val="00584214"/>
    <w:rsid w:val="00585075"/>
    <w:rsid w:val="00586412"/>
    <w:rsid w:val="005866C0"/>
    <w:rsid w:val="00586DA7"/>
    <w:rsid w:val="00586ECF"/>
    <w:rsid w:val="00587F2D"/>
    <w:rsid w:val="0059226F"/>
    <w:rsid w:val="00592A95"/>
    <w:rsid w:val="00594354"/>
    <w:rsid w:val="00594E4E"/>
    <w:rsid w:val="00595949"/>
    <w:rsid w:val="00596219"/>
    <w:rsid w:val="00597643"/>
    <w:rsid w:val="005A062A"/>
    <w:rsid w:val="005A2FFE"/>
    <w:rsid w:val="005A3244"/>
    <w:rsid w:val="005A42BB"/>
    <w:rsid w:val="005A54E3"/>
    <w:rsid w:val="005A603E"/>
    <w:rsid w:val="005B1116"/>
    <w:rsid w:val="005B21D0"/>
    <w:rsid w:val="005B29B0"/>
    <w:rsid w:val="005B31BA"/>
    <w:rsid w:val="005B3E22"/>
    <w:rsid w:val="005B4EA8"/>
    <w:rsid w:val="005B5E6B"/>
    <w:rsid w:val="005B6E6B"/>
    <w:rsid w:val="005B7BCA"/>
    <w:rsid w:val="005B7DD1"/>
    <w:rsid w:val="005C0FAF"/>
    <w:rsid w:val="005C2781"/>
    <w:rsid w:val="005C2B64"/>
    <w:rsid w:val="005C2DC0"/>
    <w:rsid w:val="005C31AE"/>
    <w:rsid w:val="005C3E59"/>
    <w:rsid w:val="005C506A"/>
    <w:rsid w:val="005C53E9"/>
    <w:rsid w:val="005C559C"/>
    <w:rsid w:val="005C5FB1"/>
    <w:rsid w:val="005C6588"/>
    <w:rsid w:val="005C6B93"/>
    <w:rsid w:val="005D0EC4"/>
    <w:rsid w:val="005D2FA5"/>
    <w:rsid w:val="005D2FAD"/>
    <w:rsid w:val="005D3C4B"/>
    <w:rsid w:val="005D41D2"/>
    <w:rsid w:val="005D5058"/>
    <w:rsid w:val="005D530D"/>
    <w:rsid w:val="005D5331"/>
    <w:rsid w:val="005D613A"/>
    <w:rsid w:val="005D6617"/>
    <w:rsid w:val="005D680C"/>
    <w:rsid w:val="005D77B5"/>
    <w:rsid w:val="005E0537"/>
    <w:rsid w:val="005E0903"/>
    <w:rsid w:val="005E151F"/>
    <w:rsid w:val="005E3FC8"/>
    <w:rsid w:val="005E5B06"/>
    <w:rsid w:val="005E5BF8"/>
    <w:rsid w:val="005E61D2"/>
    <w:rsid w:val="005E6795"/>
    <w:rsid w:val="005F0998"/>
    <w:rsid w:val="005F1FC5"/>
    <w:rsid w:val="005F3862"/>
    <w:rsid w:val="005F55CC"/>
    <w:rsid w:val="005F644C"/>
    <w:rsid w:val="00602B03"/>
    <w:rsid w:val="006038EB"/>
    <w:rsid w:val="0060591A"/>
    <w:rsid w:val="00606AE6"/>
    <w:rsid w:val="00607539"/>
    <w:rsid w:val="00607CE4"/>
    <w:rsid w:val="006105A8"/>
    <w:rsid w:val="0061085B"/>
    <w:rsid w:val="00613571"/>
    <w:rsid w:val="00616326"/>
    <w:rsid w:val="006173C9"/>
    <w:rsid w:val="0061786B"/>
    <w:rsid w:val="0062200C"/>
    <w:rsid w:val="00622856"/>
    <w:rsid w:val="006238D0"/>
    <w:rsid w:val="00624000"/>
    <w:rsid w:val="0062441B"/>
    <w:rsid w:val="006258B7"/>
    <w:rsid w:val="00630142"/>
    <w:rsid w:val="006324C3"/>
    <w:rsid w:val="00632771"/>
    <w:rsid w:val="00632FF5"/>
    <w:rsid w:val="00633433"/>
    <w:rsid w:val="00633893"/>
    <w:rsid w:val="00635D77"/>
    <w:rsid w:val="00636C0E"/>
    <w:rsid w:val="0063785C"/>
    <w:rsid w:val="00640381"/>
    <w:rsid w:val="006408CF"/>
    <w:rsid w:val="00641A47"/>
    <w:rsid w:val="00642B74"/>
    <w:rsid w:val="006439B4"/>
    <w:rsid w:val="0064508C"/>
    <w:rsid w:val="0064522B"/>
    <w:rsid w:val="00645D17"/>
    <w:rsid w:val="00645FFF"/>
    <w:rsid w:val="0065129C"/>
    <w:rsid w:val="0065343E"/>
    <w:rsid w:val="0065439E"/>
    <w:rsid w:val="00654F42"/>
    <w:rsid w:val="00655F94"/>
    <w:rsid w:val="00656222"/>
    <w:rsid w:val="00656A8C"/>
    <w:rsid w:val="006625FB"/>
    <w:rsid w:val="00662AFA"/>
    <w:rsid w:val="006634F7"/>
    <w:rsid w:val="006641F2"/>
    <w:rsid w:val="00665E91"/>
    <w:rsid w:val="00671485"/>
    <w:rsid w:val="006722E1"/>
    <w:rsid w:val="006724D8"/>
    <w:rsid w:val="00672672"/>
    <w:rsid w:val="0067425C"/>
    <w:rsid w:val="00674F68"/>
    <w:rsid w:val="00675143"/>
    <w:rsid w:val="006776FC"/>
    <w:rsid w:val="00677C98"/>
    <w:rsid w:val="00680188"/>
    <w:rsid w:val="00680E7A"/>
    <w:rsid w:val="00680E84"/>
    <w:rsid w:val="0068129E"/>
    <w:rsid w:val="00682399"/>
    <w:rsid w:val="0068291C"/>
    <w:rsid w:val="006841F6"/>
    <w:rsid w:val="00684C29"/>
    <w:rsid w:val="0068520B"/>
    <w:rsid w:val="00685392"/>
    <w:rsid w:val="006857B0"/>
    <w:rsid w:val="0068588F"/>
    <w:rsid w:val="0068596E"/>
    <w:rsid w:val="00687915"/>
    <w:rsid w:val="006879B5"/>
    <w:rsid w:val="00690700"/>
    <w:rsid w:val="00690F3E"/>
    <w:rsid w:val="00691076"/>
    <w:rsid w:val="00693A13"/>
    <w:rsid w:val="00693CDA"/>
    <w:rsid w:val="006945AE"/>
    <w:rsid w:val="00694973"/>
    <w:rsid w:val="006A0F21"/>
    <w:rsid w:val="006A20F8"/>
    <w:rsid w:val="006A3072"/>
    <w:rsid w:val="006A4467"/>
    <w:rsid w:val="006A44E3"/>
    <w:rsid w:val="006A4A23"/>
    <w:rsid w:val="006A6D9F"/>
    <w:rsid w:val="006A6EF1"/>
    <w:rsid w:val="006A70C5"/>
    <w:rsid w:val="006A7826"/>
    <w:rsid w:val="006B2C58"/>
    <w:rsid w:val="006B3F50"/>
    <w:rsid w:val="006B4551"/>
    <w:rsid w:val="006B5165"/>
    <w:rsid w:val="006B537D"/>
    <w:rsid w:val="006B549B"/>
    <w:rsid w:val="006B6B3B"/>
    <w:rsid w:val="006B6F73"/>
    <w:rsid w:val="006B7045"/>
    <w:rsid w:val="006C0B15"/>
    <w:rsid w:val="006C0CED"/>
    <w:rsid w:val="006C0E3C"/>
    <w:rsid w:val="006C15D4"/>
    <w:rsid w:val="006C164F"/>
    <w:rsid w:val="006C1C50"/>
    <w:rsid w:val="006C2C83"/>
    <w:rsid w:val="006C2EC6"/>
    <w:rsid w:val="006C4ED1"/>
    <w:rsid w:val="006C5BA8"/>
    <w:rsid w:val="006C6311"/>
    <w:rsid w:val="006C645D"/>
    <w:rsid w:val="006C65C9"/>
    <w:rsid w:val="006C6821"/>
    <w:rsid w:val="006C7C7D"/>
    <w:rsid w:val="006D1DFE"/>
    <w:rsid w:val="006D2019"/>
    <w:rsid w:val="006D3079"/>
    <w:rsid w:val="006D41D0"/>
    <w:rsid w:val="006D492F"/>
    <w:rsid w:val="006D5923"/>
    <w:rsid w:val="006D629B"/>
    <w:rsid w:val="006D6829"/>
    <w:rsid w:val="006D7206"/>
    <w:rsid w:val="006D79E0"/>
    <w:rsid w:val="006D7EB9"/>
    <w:rsid w:val="006E0586"/>
    <w:rsid w:val="006E0F4E"/>
    <w:rsid w:val="006E26FF"/>
    <w:rsid w:val="006E3997"/>
    <w:rsid w:val="006E3A58"/>
    <w:rsid w:val="006E43CD"/>
    <w:rsid w:val="006E6F6D"/>
    <w:rsid w:val="006E752E"/>
    <w:rsid w:val="006F01EA"/>
    <w:rsid w:val="006F02FA"/>
    <w:rsid w:val="006F0F5D"/>
    <w:rsid w:val="006F1614"/>
    <w:rsid w:val="006F24DC"/>
    <w:rsid w:val="006F3680"/>
    <w:rsid w:val="006F3F83"/>
    <w:rsid w:val="006F492F"/>
    <w:rsid w:val="006F5530"/>
    <w:rsid w:val="006F7045"/>
    <w:rsid w:val="006F7514"/>
    <w:rsid w:val="006F7C99"/>
    <w:rsid w:val="006F7F08"/>
    <w:rsid w:val="007008C1"/>
    <w:rsid w:val="00700B10"/>
    <w:rsid w:val="00703070"/>
    <w:rsid w:val="007035D7"/>
    <w:rsid w:val="00704D10"/>
    <w:rsid w:val="0070578A"/>
    <w:rsid w:val="007105BF"/>
    <w:rsid w:val="00710ED2"/>
    <w:rsid w:val="00711241"/>
    <w:rsid w:val="0071173B"/>
    <w:rsid w:val="007146CF"/>
    <w:rsid w:val="00721502"/>
    <w:rsid w:val="007222DF"/>
    <w:rsid w:val="007222E6"/>
    <w:rsid w:val="00722D04"/>
    <w:rsid w:val="007233A6"/>
    <w:rsid w:val="007253E6"/>
    <w:rsid w:val="0072642B"/>
    <w:rsid w:val="007272B7"/>
    <w:rsid w:val="007276EA"/>
    <w:rsid w:val="00733775"/>
    <w:rsid w:val="007357B0"/>
    <w:rsid w:val="00735ADE"/>
    <w:rsid w:val="00735C1B"/>
    <w:rsid w:val="00736943"/>
    <w:rsid w:val="007377DC"/>
    <w:rsid w:val="0074000F"/>
    <w:rsid w:val="0074078A"/>
    <w:rsid w:val="00740D09"/>
    <w:rsid w:val="007451A2"/>
    <w:rsid w:val="0074760F"/>
    <w:rsid w:val="007508E0"/>
    <w:rsid w:val="007558C1"/>
    <w:rsid w:val="007559A3"/>
    <w:rsid w:val="00755FCC"/>
    <w:rsid w:val="0075610F"/>
    <w:rsid w:val="007564C2"/>
    <w:rsid w:val="00757317"/>
    <w:rsid w:val="0075758D"/>
    <w:rsid w:val="0075795B"/>
    <w:rsid w:val="00760510"/>
    <w:rsid w:val="00761729"/>
    <w:rsid w:val="00761F1A"/>
    <w:rsid w:val="007639AA"/>
    <w:rsid w:val="00764A8C"/>
    <w:rsid w:val="00764B87"/>
    <w:rsid w:val="00765831"/>
    <w:rsid w:val="007660A1"/>
    <w:rsid w:val="00767291"/>
    <w:rsid w:val="0077061C"/>
    <w:rsid w:val="0077091B"/>
    <w:rsid w:val="007711F9"/>
    <w:rsid w:val="00772B85"/>
    <w:rsid w:val="00773988"/>
    <w:rsid w:val="00773EE7"/>
    <w:rsid w:val="00774C25"/>
    <w:rsid w:val="00782AD1"/>
    <w:rsid w:val="007834C5"/>
    <w:rsid w:val="0078356A"/>
    <w:rsid w:val="0078451F"/>
    <w:rsid w:val="00787F01"/>
    <w:rsid w:val="0079008B"/>
    <w:rsid w:val="0079372B"/>
    <w:rsid w:val="007942F0"/>
    <w:rsid w:val="0079475E"/>
    <w:rsid w:val="007954F6"/>
    <w:rsid w:val="00796E9E"/>
    <w:rsid w:val="007975F2"/>
    <w:rsid w:val="007A03D8"/>
    <w:rsid w:val="007A0B4F"/>
    <w:rsid w:val="007A2BFD"/>
    <w:rsid w:val="007A3579"/>
    <w:rsid w:val="007A51CF"/>
    <w:rsid w:val="007A6EB3"/>
    <w:rsid w:val="007A7F62"/>
    <w:rsid w:val="007B008D"/>
    <w:rsid w:val="007B29B1"/>
    <w:rsid w:val="007B2D01"/>
    <w:rsid w:val="007B3396"/>
    <w:rsid w:val="007B7EAA"/>
    <w:rsid w:val="007C0292"/>
    <w:rsid w:val="007C13C1"/>
    <w:rsid w:val="007C13D0"/>
    <w:rsid w:val="007C17C4"/>
    <w:rsid w:val="007C1F26"/>
    <w:rsid w:val="007C2982"/>
    <w:rsid w:val="007C4D45"/>
    <w:rsid w:val="007C4DE3"/>
    <w:rsid w:val="007C5A9D"/>
    <w:rsid w:val="007C61F9"/>
    <w:rsid w:val="007C74E9"/>
    <w:rsid w:val="007C77C5"/>
    <w:rsid w:val="007C7877"/>
    <w:rsid w:val="007D0086"/>
    <w:rsid w:val="007D168C"/>
    <w:rsid w:val="007D2460"/>
    <w:rsid w:val="007D24EB"/>
    <w:rsid w:val="007D2800"/>
    <w:rsid w:val="007D2956"/>
    <w:rsid w:val="007D31AE"/>
    <w:rsid w:val="007D32AE"/>
    <w:rsid w:val="007D3AE7"/>
    <w:rsid w:val="007D4AB5"/>
    <w:rsid w:val="007D4C32"/>
    <w:rsid w:val="007D56B2"/>
    <w:rsid w:val="007D5BDE"/>
    <w:rsid w:val="007D74C3"/>
    <w:rsid w:val="007D75FC"/>
    <w:rsid w:val="007D7A24"/>
    <w:rsid w:val="007E0382"/>
    <w:rsid w:val="007E0B69"/>
    <w:rsid w:val="007E0EED"/>
    <w:rsid w:val="007E20C4"/>
    <w:rsid w:val="007E4564"/>
    <w:rsid w:val="007E5CD2"/>
    <w:rsid w:val="007E6295"/>
    <w:rsid w:val="007F01C0"/>
    <w:rsid w:val="007F1737"/>
    <w:rsid w:val="007F2990"/>
    <w:rsid w:val="007F5707"/>
    <w:rsid w:val="007F6D85"/>
    <w:rsid w:val="007F7E93"/>
    <w:rsid w:val="008005D2"/>
    <w:rsid w:val="008006C2"/>
    <w:rsid w:val="00801C42"/>
    <w:rsid w:val="00802EBD"/>
    <w:rsid w:val="00803F2D"/>
    <w:rsid w:val="008053EE"/>
    <w:rsid w:val="00806004"/>
    <w:rsid w:val="008075DC"/>
    <w:rsid w:val="008121A0"/>
    <w:rsid w:val="008137EE"/>
    <w:rsid w:val="0081670D"/>
    <w:rsid w:val="00816C20"/>
    <w:rsid w:val="008170E1"/>
    <w:rsid w:val="008172F9"/>
    <w:rsid w:val="00822157"/>
    <w:rsid w:val="00823069"/>
    <w:rsid w:val="0082571A"/>
    <w:rsid w:val="0082730E"/>
    <w:rsid w:val="00830B05"/>
    <w:rsid w:val="00830B24"/>
    <w:rsid w:val="00830DCD"/>
    <w:rsid w:val="00830F0A"/>
    <w:rsid w:val="00831E96"/>
    <w:rsid w:val="00833C7C"/>
    <w:rsid w:val="008341FF"/>
    <w:rsid w:val="00835AE5"/>
    <w:rsid w:val="008367EE"/>
    <w:rsid w:val="00837D70"/>
    <w:rsid w:val="008401D3"/>
    <w:rsid w:val="008402FB"/>
    <w:rsid w:val="00840512"/>
    <w:rsid w:val="00840B2F"/>
    <w:rsid w:val="00841384"/>
    <w:rsid w:val="008455BF"/>
    <w:rsid w:val="00847D2F"/>
    <w:rsid w:val="00847D49"/>
    <w:rsid w:val="00852D62"/>
    <w:rsid w:val="00853049"/>
    <w:rsid w:val="00853A87"/>
    <w:rsid w:val="00853B2E"/>
    <w:rsid w:val="00853F7F"/>
    <w:rsid w:val="00855D40"/>
    <w:rsid w:val="00856697"/>
    <w:rsid w:val="00857EA2"/>
    <w:rsid w:val="0086007D"/>
    <w:rsid w:val="00860E77"/>
    <w:rsid w:val="0086133C"/>
    <w:rsid w:val="0086205E"/>
    <w:rsid w:val="00865117"/>
    <w:rsid w:val="00865773"/>
    <w:rsid w:val="008674E1"/>
    <w:rsid w:val="0087186D"/>
    <w:rsid w:val="008723A9"/>
    <w:rsid w:val="00872612"/>
    <w:rsid w:val="00873022"/>
    <w:rsid w:val="008731D6"/>
    <w:rsid w:val="00873578"/>
    <w:rsid w:val="008738A1"/>
    <w:rsid w:val="00873C55"/>
    <w:rsid w:val="008742D4"/>
    <w:rsid w:val="00875509"/>
    <w:rsid w:val="00876ED5"/>
    <w:rsid w:val="00877B7D"/>
    <w:rsid w:val="0088025E"/>
    <w:rsid w:val="00881273"/>
    <w:rsid w:val="00881763"/>
    <w:rsid w:val="00881B63"/>
    <w:rsid w:val="00881D17"/>
    <w:rsid w:val="00882D7C"/>
    <w:rsid w:val="00885271"/>
    <w:rsid w:val="008868E2"/>
    <w:rsid w:val="00887CE6"/>
    <w:rsid w:val="008907C9"/>
    <w:rsid w:val="008914CD"/>
    <w:rsid w:val="008949E3"/>
    <w:rsid w:val="00896831"/>
    <w:rsid w:val="00896A85"/>
    <w:rsid w:val="008A0E69"/>
    <w:rsid w:val="008A1236"/>
    <w:rsid w:val="008A1FA5"/>
    <w:rsid w:val="008A23F6"/>
    <w:rsid w:val="008A3056"/>
    <w:rsid w:val="008A4049"/>
    <w:rsid w:val="008A436E"/>
    <w:rsid w:val="008A609F"/>
    <w:rsid w:val="008A6118"/>
    <w:rsid w:val="008A6E31"/>
    <w:rsid w:val="008A6E40"/>
    <w:rsid w:val="008B1F3D"/>
    <w:rsid w:val="008B2168"/>
    <w:rsid w:val="008B21C4"/>
    <w:rsid w:val="008B50FE"/>
    <w:rsid w:val="008B58B5"/>
    <w:rsid w:val="008B5DA8"/>
    <w:rsid w:val="008C0B4E"/>
    <w:rsid w:val="008C1B71"/>
    <w:rsid w:val="008C2754"/>
    <w:rsid w:val="008C3F3E"/>
    <w:rsid w:val="008C65AE"/>
    <w:rsid w:val="008C7B7B"/>
    <w:rsid w:val="008D0D9B"/>
    <w:rsid w:val="008D18F3"/>
    <w:rsid w:val="008D2BF6"/>
    <w:rsid w:val="008D3DB5"/>
    <w:rsid w:val="008D5AF0"/>
    <w:rsid w:val="008D6672"/>
    <w:rsid w:val="008D6B37"/>
    <w:rsid w:val="008D7541"/>
    <w:rsid w:val="008D7852"/>
    <w:rsid w:val="008E0525"/>
    <w:rsid w:val="008E1191"/>
    <w:rsid w:val="008E129E"/>
    <w:rsid w:val="008E1F07"/>
    <w:rsid w:val="008E25CC"/>
    <w:rsid w:val="008E28C3"/>
    <w:rsid w:val="008E374A"/>
    <w:rsid w:val="008E3C8E"/>
    <w:rsid w:val="008E5E6C"/>
    <w:rsid w:val="008F07E4"/>
    <w:rsid w:val="008F1DC3"/>
    <w:rsid w:val="008F4708"/>
    <w:rsid w:val="008F787C"/>
    <w:rsid w:val="008F7AAC"/>
    <w:rsid w:val="008F7C3B"/>
    <w:rsid w:val="00900AB1"/>
    <w:rsid w:val="0090127E"/>
    <w:rsid w:val="0090164B"/>
    <w:rsid w:val="00901C36"/>
    <w:rsid w:val="00901D32"/>
    <w:rsid w:val="00902934"/>
    <w:rsid w:val="00905F35"/>
    <w:rsid w:val="00906197"/>
    <w:rsid w:val="00906B60"/>
    <w:rsid w:val="00910CFB"/>
    <w:rsid w:val="00911FE5"/>
    <w:rsid w:val="00912659"/>
    <w:rsid w:val="009138A4"/>
    <w:rsid w:val="00916188"/>
    <w:rsid w:val="009161DF"/>
    <w:rsid w:val="0091779B"/>
    <w:rsid w:val="00917F1E"/>
    <w:rsid w:val="009207E6"/>
    <w:rsid w:val="00921534"/>
    <w:rsid w:val="0092166A"/>
    <w:rsid w:val="00921FF3"/>
    <w:rsid w:val="00922551"/>
    <w:rsid w:val="0092497F"/>
    <w:rsid w:val="0092697A"/>
    <w:rsid w:val="00926D76"/>
    <w:rsid w:val="00927AF0"/>
    <w:rsid w:val="00930D62"/>
    <w:rsid w:val="00930F03"/>
    <w:rsid w:val="00932475"/>
    <w:rsid w:val="00932C4A"/>
    <w:rsid w:val="0093377F"/>
    <w:rsid w:val="009341ED"/>
    <w:rsid w:val="009345EC"/>
    <w:rsid w:val="00936001"/>
    <w:rsid w:val="0093604D"/>
    <w:rsid w:val="00936875"/>
    <w:rsid w:val="00936B4C"/>
    <w:rsid w:val="00936B56"/>
    <w:rsid w:val="009373FC"/>
    <w:rsid w:val="00940A08"/>
    <w:rsid w:val="00941A1D"/>
    <w:rsid w:val="00941AE5"/>
    <w:rsid w:val="009426EE"/>
    <w:rsid w:val="00942C31"/>
    <w:rsid w:val="009445AD"/>
    <w:rsid w:val="00945BC7"/>
    <w:rsid w:val="0094671E"/>
    <w:rsid w:val="00946E37"/>
    <w:rsid w:val="00947CC2"/>
    <w:rsid w:val="009515F8"/>
    <w:rsid w:val="00953F33"/>
    <w:rsid w:val="00954397"/>
    <w:rsid w:val="00961011"/>
    <w:rsid w:val="0096228D"/>
    <w:rsid w:val="009628F0"/>
    <w:rsid w:val="00963267"/>
    <w:rsid w:val="009654BA"/>
    <w:rsid w:val="00965F58"/>
    <w:rsid w:val="00966312"/>
    <w:rsid w:val="00970095"/>
    <w:rsid w:val="00970435"/>
    <w:rsid w:val="0097044B"/>
    <w:rsid w:val="00971593"/>
    <w:rsid w:val="00972439"/>
    <w:rsid w:val="00975061"/>
    <w:rsid w:val="0097526E"/>
    <w:rsid w:val="00977DB6"/>
    <w:rsid w:val="0098060F"/>
    <w:rsid w:val="00980C47"/>
    <w:rsid w:val="00980CC4"/>
    <w:rsid w:val="0098109B"/>
    <w:rsid w:val="00981F71"/>
    <w:rsid w:val="00982797"/>
    <w:rsid w:val="00982D7F"/>
    <w:rsid w:val="00982E86"/>
    <w:rsid w:val="00983EA5"/>
    <w:rsid w:val="009859E5"/>
    <w:rsid w:val="009863FD"/>
    <w:rsid w:val="00986758"/>
    <w:rsid w:val="00986938"/>
    <w:rsid w:val="00990A4F"/>
    <w:rsid w:val="00992F78"/>
    <w:rsid w:val="00993A25"/>
    <w:rsid w:val="00993F8E"/>
    <w:rsid w:val="00994506"/>
    <w:rsid w:val="009947A5"/>
    <w:rsid w:val="00994A71"/>
    <w:rsid w:val="00995A82"/>
    <w:rsid w:val="00997A0E"/>
    <w:rsid w:val="009A0C70"/>
    <w:rsid w:val="009A11C6"/>
    <w:rsid w:val="009A13B2"/>
    <w:rsid w:val="009A14A6"/>
    <w:rsid w:val="009A15CA"/>
    <w:rsid w:val="009A6D3F"/>
    <w:rsid w:val="009B02EC"/>
    <w:rsid w:val="009B09DF"/>
    <w:rsid w:val="009B3B9F"/>
    <w:rsid w:val="009B4399"/>
    <w:rsid w:val="009B4AED"/>
    <w:rsid w:val="009B6075"/>
    <w:rsid w:val="009C1257"/>
    <w:rsid w:val="009C4F3A"/>
    <w:rsid w:val="009C53BB"/>
    <w:rsid w:val="009C7011"/>
    <w:rsid w:val="009C7E7F"/>
    <w:rsid w:val="009D26E4"/>
    <w:rsid w:val="009D491F"/>
    <w:rsid w:val="009D4C5C"/>
    <w:rsid w:val="009D5ADF"/>
    <w:rsid w:val="009D7B07"/>
    <w:rsid w:val="009D7D9F"/>
    <w:rsid w:val="009E0CC5"/>
    <w:rsid w:val="009E179F"/>
    <w:rsid w:val="009E1873"/>
    <w:rsid w:val="009E1A28"/>
    <w:rsid w:val="009E234B"/>
    <w:rsid w:val="009E25E3"/>
    <w:rsid w:val="009E3331"/>
    <w:rsid w:val="009E34B0"/>
    <w:rsid w:val="009E3CCE"/>
    <w:rsid w:val="009E61AD"/>
    <w:rsid w:val="009E6AF0"/>
    <w:rsid w:val="009E6D7E"/>
    <w:rsid w:val="009E7837"/>
    <w:rsid w:val="009F09A0"/>
    <w:rsid w:val="009F0ECD"/>
    <w:rsid w:val="009F0F83"/>
    <w:rsid w:val="009F268E"/>
    <w:rsid w:val="009F36F6"/>
    <w:rsid w:val="009F48A4"/>
    <w:rsid w:val="009F4D9C"/>
    <w:rsid w:val="009F5AC2"/>
    <w:rsid w:val="009F5FAF"/>
    <w:rsid w:val="009F5FBF"/>
    <w:rsid w:val="009F661B"/>
    <w:rsid w:val="009F6A9C"/>
    <w:rsid w:val="009F7AE9"/>
    <w:rsid w:val="00A00537"/>
    <w:rsid w:val="00A00E49"/>
    <w:rsid w:val="00A029E9"/>
    <w:rsid w:val="00A0313B"/>
    <w:rsid w:val="00A03553"/>
    <w:rsid w:val="00A052DD"/>
    <w:rsid w:val="00A05375"/>
    <w:rsid w:val="00A07AB0"/>
    <w:rsid w:val="00A11A29"/>
    <w:rsid w:val="00A12BA1"/>
    <w:rsid w:val="00A13A3E"/>
    <w:rsid w:val="00A14ADF"/>
    <w:rsid w:val="00A225A4"/>
    <w:rsid w:val="00A266EF"/>
    <w:rsid w:val="00A26A8B"/>
    <w:rsid w:val="00A27DD3"/>
    <w:rsid w:val="00A30095"/>
    <w:rsid w:val="00A31092"/>
    <w:rsid w:val="00A32F48"/>
    <w:rsid w:val="00A33000"/>
    <w:rsid w:val="00A36938"/>
    <w:rsid w:val="00A40CF5"/>
    <w:rsid w:val="00A44315"/>
    <w:rsid w:val="00A44B9C"/>
    <w:rsid w:val="00A461B8"/>
    <w:rsid w:val="00A47EF7"/>
    <w:rsid w:val="00A50BCA"/>
    <w:rsid w:val="00A50E1B"/>
    <w:rsid w:val="00A50F80"/>
    <w:rsid w:val="00A512D1"/>
    <w:rsid w:val="00A5138F"/>
    <w:rsid w:val="00A514BE"/>
    <w:rsid w:val="00A51F0D"/>
    <w:rsid w:val="00A5229C"/>
    <w:rsid w:val="00A52E49"/>
    <w:rsid w:val="00A54134"/>
    <w:rsid w:val="00A5655C"/>
    <w:rsid w:val="00A56F04"/>
    <w:rsid w:val="00A6064D"/>
    <w:rsid w:val="00A608DA"/>
    <w:rsid w:val="00A619CE"/>
    <w:rsid w:val="00A63099"/>
    <w:rsid w:val="00A63346"/>
    <w:rsid w:val="00A64198"/>
    <w:rsid w:val="00A64736"/>
    <w:rsid w:val="00A656FE"/>
    <w:rsid w:val="00A709FE"/>
    <w:rsid w:val="00A70BEB"/>
    <w:rsid w:val="00A747EB"/>
    <w:rsid w:val="00A74A57"/>
    <w:rsid w:val="00A76A41"/>
    <w:rsid w:val="00A773DA"/>
    <w:rsid w:val="00A779E8"/>
    <w:rsid w:val="00A801F3"/>
    <w:rsid w:val="00A80663"/>
    <w:rsid w:val="00A80D56"/>
    <w:rsid w:val="00A81A14"/>
    <w:rsid w:val="00A85D3D"/>
    <w:rsid w:val="00A85D7E"/>
    <w:rsid w:val="00A86C9A"/>
    <w:rsid w:val="00A86F59"/>
    <w:rsid w:val="00A8746F"/>
    <w:rsid w:val="00A91288"/>
    <w:rsid w:val="00A92106"/>
    <w:rsid w:val="00A92123"/>
    <w:rsid w:val="00A92553"/>
    <w:rsid w:val="00A9292E"/>
    <w:rsid w:val="00A94B64"/>
    <w:rsid w:val="00A959A9"/>
    <w:rsid w:val="00A97C23"/>
    <w:rsid w:val="00AA0F91"/>
    <w:rsid w:val="00AA212B"/>
    <w:rsid w:val="00AA2392"/>
    <w:rsid w:val="00AA2783"/>
    <w:rsid w:val="00AA2A12"/>
    <w:rsid w:val="00AA3E8A"/>
    <w:rsid w:val="00AA470F"/>
    <w:rsid w:val="00AA496F"/>
    <w:rsid w:val="00AA4B09"/>
    <w:rsid w:val="00AA6549"/>
    <w:rsid w:val="00AA6A6F"/>
    <w:rsid w:val="00AA7181"/>
    <w:rsid w:val="00AA74BC"/>
    <w:rsid w:val="00AA757A"/>
    <w:rsid w:val="00AB038B"/>
    <w:rsid w:val="00AB03B9"/>
    <w:rsid w:val="00AB0CAE"/>
    <w:rsid w:val="00AB1E14"/>
    <w:rsid w:val="00AB568A"/>
    <w:rsid w:val="00AB5A86"/>
    <w:rsid w:val="00AB75FF"/>
    <w:rsid w:val="00AB7D62"/>
    <w:rsid w:val="00AC0856"/>
    <w:rsid w:val="00AC12F1"/>
    <w:rsid w:val="00AC1453"/>
    <w:rsid w:val="00AC1A69"/>
    <w:rsid w:val="00AC1E6C"/>
    <w:rsid w:val="00AC30E2"/>
    <w:rsid w:val="00AC353D"/>
    <w:rsid w:val="00AC4C82"/>
    <w:rsid w:val="00AC5E24"/>
    <w:rsid w:val="00AC7099"/>
    <w:rsid w:val="00AD0222"/>
    <w:rsid w:val="00AD0B7F"/>
    <w:rsid w:val="00AD0E9E"/>
    <w:rsid w:val="00AD0FE0"/>
    <w:rsid w:val="00AD40B3"/>
    <w:rsid w:val="00AD42D0"/>
    <w:rsid w:val="00AD4BEE"/>
    <w:rsid w:val="00AD4E29"/>
    <w:rsid w:val="00AD60BA"/>
    <w:rsid w:val="00AD6C00"/>
    <w:rsid w:val="00AE21DE"/>
    <w:rsid w:val="00AE2AED"/>
    <w:rsid w:val="00AE3B13"/>
    <w:rsid w:val="00AE3C6D"/>
    <w:rsid w:val="00AE4246"/>
    <w:rsid w:val="00AE42B8"/>
    <w:rsid w:val="00AE4CAD"/>
    <w:rsid w:val="00AE4D98"/>
    <w:rsid w:val="00AE6658"/>
    <w:rsid w:val="00AE6D28"/>
    <w:rsid w:val="00AE7A05"/>
    <w:rsid w:val="00AE7D17"/>
    <w:rsid w:val="00AF1AFE"/>
    <w:rsid w:val="00AF1E60"/>
    <w:rsid w:val="00AF3AF7"/>
    <w:rsid w:val="00AF48B9"/>
    <w:rsid w:val="00AF5A72"/>
    <w:rsid w:val="00AF6DBA"/>
    <w:rsid w:val="00AF7232"/>
    <w:rsid w:val="00AF7C7C"/>
    <w:rsid w:val="00B00302"/>
    <w:rsid w:val="00B00786"/>
    <w:rsid w:val="00B0090A"/>
    <w:rsid w:val="00B00AA6"/>
    <w:rsid w:val="00B04802"/>
    <w:rsid w:val="00B1371F"/>
    <w:rsid w:val="00B16211"/>
    <w:rsid w:val="00B1697B"/>
    <w:rsid w:val="00B16FCD"/>
    <w:rsid w:val="00B17A48"/>
    <w:rsid w:val="00B17EDA"/>
    <w:rsid w:val="00B17F70"/>
    <w:rsid w:val="00B17F9A"/>
    <w:rsid w:val="00B21BC5"/>
    <w:rsid w:val="00B21FE6"/>
    <w:rsid w:val="00B25D48"/>
    <w:rsid w:val="00B30CDA"/>
    <w:rsid w:val="00B318F6"/>
    <w:rsid w:val="00B33CDB"/>
    <w:rsid w:val="00B34056"/>
    <w:rsid w:val="00B340BC"/>
    <w:rsid w:val="00B34C07"/>
    <w:rsid w:val="00B35EF7"/>
    <w:rsid w:val="00B36158"/>
    <w:rsid w:val="00B36860"/>
    <w:rsid w:val="00B37020"/>
    <w:rsid w:val="00B37E41"/>
    <w:rsid w:val="00B40076"/>
    <w:rsid w:val="00B40581"/>
    <w:rsid w:val="00B4149F"/>
    <w:rsid w:val="00B4197B"/>
    <w:rsid w:val="00B41E9B"/>
    <w:rsid w:val="00B423A7"/>
    <w:rsid w:val="00B428EF"/>
    <w:rsid w:val="00B42D9F"/>
    <w:rsid w:val="00B45B3B"/>
    <w:rsid w:val="00B46361"/>
    <w:rsid w:val="00B4691E"/>
    <w:rsid w:val="00B47E68"/>
    <w:rsid w:val="00B51CE5"/>
    <w:rsid w:val="00B521DD"/>
    <w:rsid w:val="00B521E9"/>
    <w:rsid w:val="00B5311B"/>
    <w:rsid w:val="00B53C14"/>
    <w:rsid w:val="00B541B9"/>
    <w:rsid w:val="00B54987"/>
    <w:rsid w:val="00B55F62"/>
    <w:rsid w:val="00B565D6"/>
    <w:rsid w:val="00B57BF5"/>
    <w:rsid w:val="00B57F1C"/>
    <w:rsid w:val="00B61453"/>
    <w:rsid w:val="00B61CEF"/>
    <w:rsid w:val="00B61E8B"/>
    <w:rsid w:val="00B641CC"/>
    <w:rsid w:val="00B658BC"/>
    <w:rsid w:val="00B725C6"/>
    <w:rsid w:val="00B728CF"/>
    <w:rsid w:val="00B7378E"/>
    <w:rsid w:val="00B73FA0"/>
    <w:rsid w:val="00B7692A"/>
    <w:rsid w:val="00B801EB"/>
    <w:rsid w:val="00B80591"/>
    <w:rsid w:val="00B80B6E"/>
    <w:rsid w:val="00B80C73"/>
    <w:rsid w:val="00B8263A"/>
    <w:rsid w:val="00B83E36"/>
    <w:rsid w:val="00B84EE1"/>
    <w:rsid w:val="00B8539A"/>
    <w:rsid w:val="00B854C3"/>
    <w:rsid w:val="00B8616D"/>
    <w:rsid w:val="00B8640B"/>
    <w:rsid w:val="00B86B6C"/>
    <w:rsid w:val="00B87160"/>
    <w:rsid w:val="00B90E55"/>
    <w:rsid w:val="00B9102E"/>
    <w:rsid w:val="00B9252B"/>
    <w:rsid w:val="00B92B21"/>
    <w:rsid w:val="00B93C0F"/>
    <w:rsid w:val="00B93CED"/>
    <w:rsid w:val="00B941B7"/>
    <w:rsid w:val="00B94406"/>
    <w:rsid w:val="00B94EFC"/>
    <w:rsid w:val="00B95276"/>
    <w:rsid w:val="00B974F5"/>
    <w:rsid w:val="00BA0179"/>
    <w:rsid w:val="00BA12AE"/>
    <w:rsid w:val="00BA1618"/>
    <w:rsid w:val="00BA174E"/>
    <w:rsid w:val="00BA183F"/>
    <w:rsid w:val="00BA1A46"/>
    <w:rsid w:val="00BA1B64"/>
    <w:rsid w:val="00BA23F7"/>
    <w:rsid w:val="00BA3CB7"/>
    <w:rsid w:val="00BA427D"/>
    <w:rsid w:val="00BA4DF6"/>
    <w:rsid w:val="00BA6298"/>
    <w:rsid w:val="00BA6D4D"/>
    <w:rsid w:val="00BB061E"/>
    <w:rsid w:val="00BB0906"/>
    <w:rsid w:val="00BB0A97"/>
    <w:rsid w:val="00BB0F58"/>
    <w:rsid w:val="00BB2E22"/>
    <w:rsid w:val="00BB3391"/>
    <w:rsid w:val="00BB3B40"/>
    <w:rsid w:val="00BB45DA"/>
    <w:rsid w:val="00BB4821"/>
    <w:rsid w:val="00BB5AF5"/>
    <w:rsid w:val="00BB718C"/>
    <w:rsid w:val="00BC02C6"/>
    <w:rsid w:val="00BC08C2"/>
    <w:rsid w:val="00BC27CE"/>
    <w:rsid w:val="00BC40AB"/>
    <w:rsid w:val="00BC6443"/>
    <w:rsid w:val="00BC7A76"/>
    <w:rsid w:val="00BD24EE"/>
    <w:rsid w:val="00BD2C4E"/>
    <w:rsid w:val="00BE0DC5"/>
    <w:rsid w:val="00BE180B"/>
    <w:rsid w:val="00BE26FF"/>
    <w:rsid w:val="00BE4294"/>
    <w:rsid w:val="00BE462F"/>
    <w:rsid w:val="00BE4831"/>
    <w:rsid w:val="00BE646F"/>
    <w:rsid w:val="00BE6A09"/>
    <w:rsid w:val="00BF0702"/>
    <w:rsid w:val="00BF0BC3"/>
    <w:rsid w:val="00BF0D0E"/>
    <w:rsid w:val="00BF2BC2"/>
    <w:rsid w:val="00BF3E0A"/>
    <w:rsid w:val="00BF45DF"/>
    <w:rsid w:val="00BF51FB"/>
    <w:rsid w:val="00BF6D92"/>
    <w:rsid w:val="00BF794C"/>
    <w:rsid w:val="00BF7F7F"/>
    <w:rsid w:val="00C0019A"/>
    <w:rsid w:val="00C0205E"/>
    <w:rsid w:val="00C04565"/>
    <w:rsid w:val="00C05C18"/>
    <w:rsid w:val="00C07715"/>
    <w:rsid w:val="00C07AD0"/>
    <w:rsid w:val="00C07B98"/>
    <w:rsid w:val="00C121CA"/>
    <w:rsid w:val="00C12E80"/>
    <w:rsid w:val="00C15184"/>
    <w:rsid w:val="00C15FF0"/>
    <w:rsid w:val="00C174E9"/>
    <w:rsid w:val="00C17A0C"/>
    <w:rsid w:val="00C17A44"/>
    <w:rsid w:val="00C206DB"/>
    <w:rsid w:val="00C2075B"/>
    <w:rsid w:val="00C2293C"/>
    <w:rsid w:val="00C23895"/>
    <w:rsid w:val="00C24F0B"/>
    <w:rsid w:val="00C25210"/>
    <w:rsid w:val="00C26108"/>
    <w:rsid w:val="00C271A6"/>
    <w:rsid w:val="00C27C5D"/>
    <w:rsid w:val="00C31924"/>
    <w:rsid w:val="00C31B3A"/>
    <w:rsid w:val="00C34A4B"/>
    <w:rsid w:val="00C35796"/>
    <w:rsid w:val="00C37081"/>
    <w:rsid w:val="00C40AFE"/>
    <w:rsid w:val="00C40F87"/>
    <w:rsid w:val="00C41E05"/>
    <w:rsid w:val="00C43D27"/>
    <w:rsid w:val="00C44FE0"/>
    <w:rsid w:val="00C44FE2"/>
    <w:rsid w:val="00C46F0D"/>
    <w:rsid w:val="00C47F2F"/>
    <w:rsid w:val="00C502AF"/>
    <w:rsid w:val="00C50443"/>
    <w:rsid w:val="00C507F6"/>
    <w:rsid w:val="00C50851"/>
    <w:rsid w:val="00C51558"/>
    <w:rsid w:val="00C5173F"/>
    <w:rsid w:val="00C53D63"/>
    <w:rsid w:val="00C54E27"/>
    <w:rsid w:val="00C553A6"/>
    <w:rsid w:val="00C559BB"/>
    <w:rsid w:val="00C6063D"/>
    <w:rsid w:val="00C60F09"/>
    <w:rsid w:val="00C61B7F"/>
    <w:rsid w:val="00C624A8"/>
    <w:rsid w:val="00C644B8"/>
    <w:rsid w:val="00C64EA5"/>
    <w:rsid w:val="00C65DF1"/>
    <w:rsid w:val="00C667D5"/>
    <w:rsid w:val="00C704CC"/>
    <w:rsid w:val="00C709FA"/>
    <w:rsid w:val="00C73156"/>
    <w:rsid w:val="00C7370F"/>
    <w:rsid w:val="00C75697"/>
    <w:rsid w:val="00C80189"/>
    <w:rsid w:val="00C83CF8"/>
    <w:rsid w:val="00C8424A"/>
    <w:rsid w:val="00C842D0"/>
    <w:rsid w:val="00C8511C"/>
    <w:rsid w:val="00C85760"/>
    <w:rsid w:val="00C85B58"/>
    <w:rsid w:val="00C872BA"/>
    <w:rsid w:val="00C91B5D"/>
    <w:rsid w:val="00C91F8D"/>
    <w:rsid w:val="00C93A85"/>
    <w:rsid w:val="00C93BE7"/>
    <w:rsid w:val="00C96777"/>
    <w:rsid w:val="00C9735B"/>
    <w:rsid w:val="00CA1BAA"/>
    <w:rsid w:val="00CA3214"/>
    <w:rsid w:val="00CA3A9C"/>
    <w:rsid w:val="00CA4337"/>
    <w:rsid w:val="00CA5950"/>
    <w:rsid w:val="00CA710C"/>
    <w:rsid w:val="00CB1D3C"/>
    <w:rsid w:val="00CB243D"/>
    <w:rsid w:val="00CB261B"/>
    <w:rsid w:val="00CB33CF"/>
    <w:rsid w:val="00CB46DB"/>
    <w:rsid w:val="00CB4FDE"/>
    <w:rsid w:val="00CB5941"/>
    <w:rsid w:val="00CB73F3"/>
    <w:rsid w:val="00CC0FC6"/>
    <w:rsid w:val="00CC18A9"/>
    <w:rsid w:val="00CC3279"/>
    <w:rsid w:val="00CC42AE"/>
    <w:rsid w:val="00CC451A"/>
    <w:rsid w:val="00CC46EE"/>
    <w:rsid w:val="00CC4942"/>
    <w:rsid w:val="00CC797C"/>
    <w:rsid w:val="00CD085C"/>
    <w:rsid w:val="00CD10EE"/>
    <w:rsid w:val="00CD1C79"/>
    <w:rsid w:val="00CD29A7"/>
    <w:rsid w:val="00CD37FF"/>
    <w:rsid w:val="00CD42B3"/>
    <w:rsid w:val="00CD4B45"/>
    <w:rsid w:val="00CD587F"/>
    <w:rsid w:val="00CD7080"/>
    <w:rsid w:val="00CE0C76"/>
    <w:rsid w:val="00CE1F64"/>
    <w:rsid w:val="00CE3064"/>
    <w:rsid w:val="00CE3E12"/>
    <w:rsid w:val="00CE627C"/>
    <w:rsid w:val="00CE6920"/>
    <w:rsid w:val="00CE705D"/>
    <w:rsid w:val="00CE76CC"/>
    <w:rsid w:val="00CE7B5F"/>
    <w:rsid w:val="00CF1CDB"/>
    <w:rsid w:val="00CF1FB8"/>
    <w:rsid w:val="00CF4ACE"/>
    <w:rsid w:val="00CF640B"/>
    <w:rsid w:val="00CF6819"/>
    <w:rsid w:val="00CF6D99"/>
    <w:rsid w:val="00CF6FD6"/>
    <w:rsid w:val="00D00F76"/>
    <w:rsid w:val="00D01008"/>
    <w:rsid w:val="00D01999"/>
    <w:rsid w:val="00D01A61"/>
    <w:rsid w:val="00D035B3"/>
    <w:rsid w:val="00D04125"/>
    <w:rsid w:val="00D05D8D"/>
    <w:rsid w:val="00D061E4"/>
    <w:rsid w:val="00D06EB5"/>
    <w:rsid w:val="00D06FF7"/>
    <w:rsid w:val="00D1269B"/>
    <w:rsid w:val="00D14290"/>
    <w:rsid w:val="00D14817"/>
    <w:rsid w:val="00D15D6B"/>
    <w:rsid w:val="00D1656B"/>
    <w:rsid w:val="00D202EE"/>
    <w:rsid w:val="00D22450"/>
    <w:rsid w:val="00D245CA"/>
    <w:rsid w:val="00D25654"/>
    <w:rsid w:val="00D258AF"/>
    <w:rsid w:val="00D27668"/>
    <w:rsid w:val="00D30206"/>
    <w:rsid w:val="00D309E6"/>
    <w:rsid w:val="00D32A00"/>
    <w:rsid w:val="00D34972"/>
    <w:rsid w:val="00D36FFA"/>
    <w:rsid w:val="00D37162"/>
    <w:rsid w:val="00D411AC"/>
    <w:rsid w:val="00D4207A"/>
    <w:rsid w:val="00D432AD"/>
    <w:rsid w:val="00D43D83"/>
    <w:rsid w:val="00D508E9"/>
    <w:rsid w:val="00D5327E"/>
    <w:rsid w:val="00D533D7"/>
    <w:rsid w:val="00D537FE"/>
    <w:rsid w:val="00D53D4F"/>
    <w:rsid w:val="00D54CF3"/>
    <w:rsid w:val="00D5731D"/>
    <w:rsid w:val="00D5789E"/>
    <w:rsid w:val="00D6012B"/>
    <w:rsid w:val="00D606D4"/>
    <w:rsid w:val="00D61D40"/>
    <w:rsid w:val="00D63042"/>
    <w:rsid w:val="00D64F1C"/>
    <w:rsid w:val="00D650C7"/>
    <w:rsid w:val="00D66F34"/>
    <w:rsid w:val="00D6711C"/>
    <w:rsid w:val="00D6755F"/>
    <w:rsid w:val="00D678D1"/>
    <w:rsid w:val="00D679E4"/>
    <w:rsid w:val="00D70562"/>
    <w:rsid w:val="00D7243A"/>
    <w:rsid w:val="00D77253"/>
    <w:rsid w:val="00D80E22"/>
    <w:rsid w:val="00D81B5A"/>
    <w:rsid w:val="00D83789"/>
    <w:rsid w:val="00D83F21"/>
    <w:rsid w:val="00D84078"/>
    <w:rsid w:val="00D84900"/>
    <w:rsid w:val="00D86B88"/>
    <w:rsid w:val="00D87935"/>
    <w:rsid w:val="00D911A5"/>
    <w:rsid w:val="00D91DD0"/>
    <w:rsid w:val="00D9246E"/>
    <w:rsid w:val="00D92578"/>
    <w:rsid w:val="00D94294"/>
    <w:rsid w:val="00D95150"/>
    <w:rsid w:val="00D96F8B"/>
    <w:rsid w:val="00D97642"/>
    <w:rsid w:val="00D976C0"/>
    <w:rsid w:val="00D97A81"/>
    <w:rsid w:val="00D97CE8"/>
    <w:rsid w:val="00DA2B07"/>
    <w:rsid w:val="00DA2B3A"/>
    <w:rsid w:val="00DA3784"/>
    <w:rsid w:val="00DA541C"/>
    <w:rsid w:val="00DA5EF8"/>
    <w:rsid w:val="00DA62CA"/>
    <w:rsid w:val="00DB163E"/>
    <w:rsid w:val="00DB170F"/>
    <w:rsid w:val="00DB2631"/>
    <w:rsid w:val="00DB26CD"/>
    <w:rsid w:val="00DB274B"/>
    <w:rsid w:val="00DB5257"/>
    <w:rsid w:val="00DB68F3"/>
    <w:rsid w:val="00DB6958"/>
    <w:rsid w:val="00DB6C5D"/>
    <w:rsid w:val="00DB7DAC"/>
    <w:rsid w:val="00DC0EFC"/>
    <w:rsid w:val="00DC254A"/>
    <w:rsid w:val="00DC61CA"/>
    <w:rsid w:val="00DC62E4"/>
    <w:rsid w:val="00DC7769"/>
    <w:rsid w:val="00DD0519"/>
    <w:rsid w:val="00DD081B"/>
    <w:rsid w:val="00DD21A3"/>
    <w:rsid w:val="00DD49FC"/>
    <w:rsid w:val="00DD60A9"/>
    <w:rsid w:val="00DE08D0"/>
    <w:rsid w:val="00DE12D5"/>
    <w:rsid w:val="00DE17E9"/>
    <w:rsid w:val="00DE2221"/>
    <w:rsid w:val="00DE249C"/>
    <w:rsid w:val="00DE2DD5"/>
    <w:rsid w:val="00DE3AC8"/>
    <w:rsid w:val="00DE4996"/>
    <w:rsid w:val="00DE58C2"/>
    <w:rsid w:val="00DE703A"/>
    <w:rsid w:val="00DF0581"/>
    <w:rsid w:val="00DF0C67"/>
    <w:rsid w:val="00DF1C4F"/>
    <w:rsid w:val="00DF2C44"/>
    <w:rsid w:val="00DF376A"/>
    <w:rsid w:val="00DF6D47"/>
    <w:rsid w:val="00DF7174"/>
    <w:rsid w:val="00E0162F"/>
    <w:rsid w:val="00E039FF"/>
    <w:rsid w:val="00E0450A"/>
    <w:rsid w:val="00E05829"/>
    <w:rsid w:val="00E05C78"/>
    <w:rsid w:val="00E07351"/>
    <w:rsid w:val="00E0795A"/>
    <w:rsid w:val="00E07E97"/>
    <w:rsid w:val="00E1036E"/>
    <w:rsid w:val="00E10851"/>
    <w:rsid w:val="00E10CFE"/>
    <w:rsid w:val="00E14C94"/>
    <w:rsid w:val="00E153D2"/>
    <w:rsid w:val="00E21B45"/>
    <w:rsid w:val="00E22BC6"/>
    <w:rsid w:val="00E24376"/>
    <w:rsid w:val="00E270EB"/>
    <w:rsid w:val="00E303CF"/>
    <w:rsid w:val="00E30F22"/>
    <w:rsid w:val="00E31773"/>
    <w:rsid w:val="00E321F0"/>
    <w:rsid w:val="00E32207"/>
    <w:rsid w:val="00E327B3"/>
    <w:rsid w:val="00E33857"/>
    <w:rsid w:val="00E3454F"/>
    <w:rsid w:val="00E34986"/>
    <w:rsid w:val="00E3568A"/>
    <w:rsid w:val="00E36779"/>
    <w:rsid w:val="00E36D08"/>
    <w:rsid w:val="00E37198"/>
    <w:rsid w:val="00E4058D"/>
    <w:rsid w:val="00E40837"/>
    <w:rsid w:val="00E4279E"/>
    <w:rsid w:val="00E440D0"/>
    <w:rsid w:val="00E449F5"/>
    <w:rsid w:val="00E44B3F"/>
    <w:rsid w:val="00E44EC2"/>
    <w:rsid w:val="00E44EFB"/>
    <w:rsid w:val="00E452C4"/>
    <w:rsid w:val="00E45362"/>
    <w:rsid w:val="00E46093"/>
    <w:rsid w:val="00E4674C"/>
    <w:rsid w:val="00E513A8"/>
    <w:rsid w:val="00E52821"/>
    <w:rsid w:val="00E5289C"/>
    <w:rsid w:val="00E529D2"/>
    <w:rsid w:val="00E5369D"/>
    <w:rsid w:val="00E54923"/>
    <w:rsid w:val="00E56699"/>
    <w:rsid w:val="00E60DCE"/>
    <w:rsid w:val="00E62A1D"/>
    <w:rsid w:val="00E62A5F"/>
    <w:rsid w:val="00E63EB9"/>
    <w:rsid w:val="00E64BD2"/>
    <w:rsid w:val="00E64C24"/>
    <w:rsid w:val="00E6514D"/>
    <w:rsid w:val="00E666F7"/>
    <w:rsid w:val="00E67C12"/>
    <w:rsid w:val="00E67F56"/>
    <w:rsid w:val="00E7048E"/>
    <w:rsid w:val="00E7085F"/>
    <w:rsid w:val="00E70EEB"/>
    <w:rsid w:val="00E73AB2"/>
    <w:rsid w:val="00E755C4"/>
    <w:rsid w:val="00E77909"/>
    <w:rsid w:val="00E804FA"/>
    <w:rsid w:val="00E84935"/>
    <w:rsid w:val="00E86A93"/>
    <w:rsid w:val="00E8719D"/>
    <w:rsid w:val="00E9133B"/>
    <w:rsid w:val="00E913AA"/>
    <w:rsid w:val="00E92BA1"/>
    <w:rsid w:val="00E92D35"/>
    <w:rsid w:val="00E944E5"/>
    <w:rsid w:val="00E9467A"/>
    <w:rsid w:val="00E968E5"/>
    <w:rsid w:val="00E96C40"/>
    <w:rsid w:val="00E97352"/>
    <w:rsid w:val="00E97B25"/>
    <w:rsid w:val="00EA1261"/>
    <w:rsid w:val="00EA19A0"/>
    <w:rsid w:val="00EA5137"/>
    <w:rsid w:val="00EA526E"/>
    <w:rsid w:val="00EA5348"/>
    <w:rsid w:val="00EA5BC5"/>
    <w:rsid w:val="00EA61D3"/>
    <w:rsid w:val="00EA64D9"/>
    <w:rsid w:val="00EA7414"/>
    <w:rsid w:val="00EB1488"/>
    <w:rsid w:val="00EB29D5"/>
    <w:rsid w:val="00EB3576"/>
    <w:rsid w:val="00EB4DEC"/>
    <w:rsid w:val="00EB574E"/>
    <w:rsid w:val="00EB5FC5"/>
    <w:rsid w:val="00EB722A"/>
    <w:rsid w:val="00EB72CD"/>
    <w:rsid w:val="00EC1405"/>
    <w:rsid w:val="00EC3FBA"/>
    <w:rsid w:val="00EC4E3B"/>
    <w:rsid w:val="00EC57B1"/>
    <w:rsid w:val="00EC6CB9"/>
    <w:rsid w:val="00EC7853"/>
    <w:rsid w:val="00ED1CC6"/>
    <w:rsid w:val="00ED1D2A"/>
    <w:rsid w:val="00ED4084"/>
    <w:rsid w:val="00ED5732"/>
    <w:rsid w:val="00ED639B"/>
    <w:rsid w:val="00ED72AD"/>
    <w:rsid w:val="00ED7AF0"/>
    <w:rsid w:val="00EE0412"/>
    <w:rsid w:val="00EE0BBE"/>
    <w:rsid w:val="00EE35CB"/>
    <w:rsid w:val="00EE4F9C"/>
    <w:rsid w:val="00EE5268"/>
    <w:rsid w:val="00EE5330"/>
    <w:rsid w:val="00EE5357"/>
    <w:rsid w:val="00EE5430"/>
    <w:rsid w:val="00EE5598"/>
    <w:rsid w:val="00EF3152"/>
    <w:rsid w:val="00EF3762"/>
    <w:rsid w:val="00EF3FFB"/>
    <w:rsid w:val="00EF4272"/>
    <w:rsid w:val="00EF4F88"/>
    <w:rsid w:val="00EF67AD"/>
    <w:rsid w:val="00EF6B86"/>
    <w:rsid w:val="00F007BD"/>
    <w:rsid w:val="00F00ACE"/>
    <w:rsid w:val="00F032F5"/>
    <w:rsid w:val="00F04431"/>
    <w:rsid w:val="00F06876"/>
    <w:rsid w:val="00F06DF0"/>
    <w:rsid w:val="00F070AA"/>
    <w:rsid w:val="00F076B5"/>
    <w:rsid w:val="00F0771E"/>
    <w:rsid w:val="00F07D20"/>
    <w:rsid w:val="00F1121B"/>
    <w:rsid w:val="00F120F8"/>
    <w:rsid w:val="00F124D4"/>
    <w:rsid w:val="00F1322B"/>
    <w:rsid w:val="00F13B3F"/>
    <w:rsid w:val="00F153E4"/>
    <w:rsid w:val="00F16A88"/>
    <w:rsid w:val="00F17FC5"/>
    <w:rsid w:val="00F17FF5"/>
    <w:rsid w:val="00F213F1"/>
    <w:rsid w:val="00F226E9"/>
    <w:rsid w:val="00F23AE3"/>
    <w:rsid w:val="00F24544"/>
    <w:rsid w:val="00F25210"/>
    <w:rsid w:val="00F260E1"/>
    <w:rsid w:val="00F275CE"/>
    <w:rsid w:val="00F31C88"/>
    <w:rsid w:val="00F3293C"/>
    <w:rsid w:val="00F34163"/>
    <w:rsid w:val="00F35FF0"/>
    <w:rsid w:val="00F37315"/>
    <w:rsid w:val="00F4053F"/>
    <w:rsid w:val="00F4388E"/>
    <w:rsid w:val="00F46805"/>
    <w:rsid w:val="00F470E8"/>
    <w:rsid w:val="00F52955"/>
    <w:rsid w:val="00F530CD"/>
    <w:rsid w:val="00F53825"/>
    <w:rsid w:val="00F53BA3"/>
    <w:rsid w:val="00F5507B"/>
    <w:rsid w:val="00F565EB"/>
    <w:rsid w:val="00F61924"/>
    <w:rsid w:val="00F623EB"/>
    <w:rsid w:val="00F6288B"/>
    <w:rsid w:val="00F62B59"/>
    <w:rsid w:val="00F64C3E"/>
    <w:rsid w:val="00F65C54"/>
    <w:rsid w:val="00F66673"/>
    <w:rsid w:val="00F74982"/>
    <w:rsid w:val="00F74A56"/>
    <w:rsid w:val="00F756EC"/>
    <w:rsid w:val="00F76778"/>
    <w:rsid w:val="00F80193"/>
    <w:rsid w:val="00F81441"/>
    <w:rsid w:val="00F81722"/>
    <w:rsid w:val="00F857ED"/>
    <w:rsid w:val="00F86265"/>
    <w:rsid w:val="00F86ABA"/>
    <w:rsid w:val="00F86AC9"/>
    <w:rsid w:val="00F86F0F"/>
    <w:rsid w:val="00F87948"/>
    <w:rsid w:val="00F90DF2"/>
    <w:rsid w:val="00F92B5A"/>
    <w:rsid w:val="00F93E27"/>
    <w:rsid w:val="00F94E3D"/>
    <w:rsid w:val="00F95025"/>
    <w:rsid w:val="00F963D9"/>
    <w:rsid w:val="00F967C9"/>
    <w:rsid w:val="00F971D6"/>
    <w:rsid w:val="00F977E9"/>
    <w:rsid w:val="00FA0B41"/>
    <w:rsid w:val="00FA19D1"/>
    <w:rsid w:val="00FA23B2"/>
    <w:rsid w:val="00FA287F"/>
    <w:rsid w:val="00FA3A6E"/>
    <w:rsid w:val="00FA50CF"/>
    <w:rsid w:val="00FA5AAA"/>
    <w:rsid w:val="00FA6770"/>
    <w:rsid w:val="00FA6AF0"/>
    <w:rsid w:val="00FA7A05"/>
    <w:rsid w:val="00FA7B88"/>
    <w:rsid w:val="00FA7F1C"/>
    <w:rsid w:val="00FB375C"/>
    <w:rsid w:val="00FB5785"/>
    <w:rsid w:val="00FB6C05"/>
    <w:rsid w:val="00FB7735"/>
    <w:rsid w:val="00FC0282"/>
    <w:rsid w:val="00FC0BAF"/>
    <w:rsid w:val="00FC22B2"/>
    <w:rsid w:val="00FC3854"/>
    <w:rsid w:val="00FC3D19"/>
    <w:rsid w:val="00FC3E66"/>
    <w:rsid w:val="00FC4BFA"/>
    <w:rsid w:val="00FC5D14"/>
    <w:rsid w:val="00FC7233"/>
    <w:rsid w:val="00FD00C2"/>
    <w:rsid w:val="00FD0283"/>
    <w:rsid w:val="00FD1596"/>
    <w:rsid w:val="00FD2346"/>
    <w:rsid w:val="00FD377C"/>
    <w:rsid w:val="00FD3A81"/>
    <w:rsid w:val="00FD3F78"/>
    <w:rsid w:val="00FD50A3"/>
    <w:rsid w:val="00FD7C3B"/>
    <w:rsid w:val="00FD7EF0"/>
    <w:rsid w:val="00FE03B9"/>
    <w:rsid w:val="00FE048D"/>
    <w:rsid w:val="00FE1688"/>
    <w:rsid w:val="00FE2678"/>
    <w:rsid w:val="00FE4367"/>
    <w:rsid w:val="00FE5880"/>
    <w:rsid w:val="00FE5A02"/>
    <w:rsid w:val="00FE7814"/>
    <w:rsid w:val="00FF0AD9"/>
    <w:rsid w:val="00FF124F"/>
    <w:rsid w:val="00FF1358"/>
    <w:rsid w:val="00FF332C"/>
    <w:rsid w:val="00FF53F0"/>
    <w:rsid w:val="00FF6DE0"/>
    <w:rsid w:val="00FF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512"/>
    <w:rPr>
      <w:sz w:val="24"/>
      <w:szCs w:val="24"/>
      <w:lang w:val="en-US" w:eastAsia="en-US"/>
    </w:rPr>
  </w:style>
  <w:style w:type="paragraph" w:styleId="Heading1">
    <w:name w:val="heading 1"/>
    <w:basedOn w:val="Normal"/>
    <w:next w:val="Normal"/>
    <w:qFormat/>
    <w:rsid w:val="00840512"/>
    <w:pPr>
      <w:keepNext/>
      <w:jc w:val="right"/>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mAddressee">
    <w:name w:val="UomAddressee"/>
    <w:basedOn w:val="Normal"/>
    <w:rsid w:val="00840512"/>
    <w:rPr>
      <w:rFonts w:ascii="TheSans B5 Plain" w:hAnsi="TheSans B5 Plain"/>
      <w:sz w:val="22"/>
      <w:szCs w:val="18"/>
    </w:rPr>
  </w:style>
  <w:style w:type="paragraph" w:styleId="BodyText">
    <w:name w:val="Body Text"/>
    <w:rsid w:val="00840512"/>
    <w:pPr>
      <w:spacing w:after="360"/>
    </w:pPr>
    <w:rPr>
      <w:rFonts w:ascii="TheSans B5 Plain" w:hAnsi="TheSans B5 Plain"/>
      <w:sz w:val="22"/>
      <w:szCs w:val="24"/>
      <w:lang w:val="en-US" w:eastAsia="en-US"/>
    </w:rPr>
  </w:style>
  <w:style w:type="character" w:styleId="Hyperlink">
    <w:name w:val="Hyperlink"/>
    <w:basedOn w:val="DefaultParagraphFont"/>
    <w:rsid w:val="00840512"/>
    <w:rPr>
      <w:color w:val="0000FF"/>
      <w:u w:val="single"/>
    </w:rPr>
  </w:style>
  <w:style w:type="paragraph" w:styleId="Footer">
    <w:name w:val="footer"/>
    <w:basedOn w:val="Normal"/>
    <w:rsid w:val="00840512"/>
    <w:pPr>
      <w:tabs>
        <w:tab w:val="center" w:pos="4320"/>
        <w:tab w:val="right" w:pos="8640"/>
      </w:tabs>
    </w:pPr>
  </w:style>
  <w:style w:type="character" w:styleId="PageNumber">
    <w:name w:val="page number"/>
    <w:basedOn w:val="DefaultParagraphFont"/>
    <w:rsid w:val="00840512"/>
  </w:style>
  <w:style w:type="paragraph" w:styleId="BodyTextIndent">
    <w:name w:val="Body Text Indent"/>
    <w:basedOn w:val="Normal"/>
    <w:rsid w:val="00840512"/>
    <w:pPr>
      <w:ind w:left="1122" w:hanging="402"/>
    </w:pPr>
  </w:style>
  <w:style w:type="paragraph" w:styleId="Header">
    <w:name w:val="header"/>
    <w:basedOn w:val="Normal"/>
    <w:rsid w:val="00840512"/>
    <w:pPr>
      <w:tabs>
        <w:tab w:val="center" w:pos="4320"/>
        <w:tab w:val="right" w:pos="8640"/>
      </w:tabs>
    </w:pPr>
  </w:style>
  <w:style w:type="paragraph" w:styleId="BalloonText">
    <w:name w:val="Balloon Text"/>
    <w:basedOn w:val="Normal"/>
    <w:semiHidden/>
    <w:rsid w:val="00662AFA"/>
    <w:rPr>
      <w:rFonts w:ascii="Tahoma" w:hAnsi="Tahoma" w:cs="Tahoma"/>
      <w:sz w:val="16"/>
      <w:szCs w:val="16"/>
    </w:rPr>
  </w:style>
  <w:style w:type="table" w:styleId="TableGrid">
    <w:name w:val="Table Grid"/>
    <w:basedOn w:val="TableNormal"/>
    <w:rsid w:val="0067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271A6"/>
    <w:rPr>
      <w:sz w:val="20"/>
      <w:szCs w:val="20"/>
    </w:rPr>
  </w:style>
  <w:style w:type="character" w:styleId="FootnoteReference">
    <w:name w:val="footnote reference"/>
    <w:basedOn w:val="DefaultParagraphFont"/>
    <w:semiHidden/>
    <w:rsid w:val="00C271A6"/>
    <w:rPr>
      <w:vertAlign w:val="superscript"/>
    </w:rPr>
  </w:style>
  <w:style w:type="character" w:styleId="CommentReference">
    <w:name w:val="annotation reference"/>
    <w:basedOn w:val="DefaultParagraphFont"/>
    <w:semiHidden/>
    <w:rsid w:val="00206531"/>
    <w:rPr>
      <w:sz w:val="16"/>
      <w:szCs w:val="16"/>
    </w:rPr>
  </w:style>
  <w:style w:type="paragraph" w:styleId="CommentText">
    <w:name w:val="annotation text"/>
    <w:basedOn w:val="Normal"/>
    <w:semiHidden/>
    <w:rsid w:val="00206531"/>
    <w:rPr>
      <w:sz w:val="20"/>
      <w:szCs w:val="20"/>
    </w:rPr>
  </w:style>
  <w:style w:type="paragraph" w:styleId="CommentSubject">
    <w:name w:val="annotation subject"/>
    <w:basedOn w:val="CommentText"/>
    <w:next w:val="CommentText"/>
    <w:semiHidden/>
    <w:rsid w:val="00206531"/>
    <w:rPr>
      <w:b/>
      <w:bCs/>
    </w:rPr>
  </w:style>
  <w:style w:type="paragraph" w:styleId="ListParagraph">
    <w:name w:val="List Paragraph"/>
    <w:basedOn w:val="Normal"/>
    <w:uiPriority w:val="34"/>
    <w:qFormat/>
    <w:rsid w:val="005527BF"/>
    <w:pPr>
      <w:ind w:left="720"/>
      <w:contextualSpacing/>
    </w:pPr>
  </w:style>
  <w:style w:type="paragraph" w:styleId="NormalWeb">
    <w:name w:val="Normal (Web)"/>
    <w:basedOn w:val="Normal"/>
    <w:uiPriority w:val="99"/>
    <w:unhideWhenUsed/>
    <w:rsid w:val="004E1E03"/>
    <w:pPr>
      <w:spacing w:before="100" w:beforeAutospacing="1" w:after="100" w:afterAutospacing="1"/>
    </w:pPr>
    <w:rPr>
      <w:lang w:val="en-GB" w:eastAsia="en-GB"/>
    </w:rPr>
  </w:style>
  <w:style w:type="paragraph" w:customStyle="1" w:styleId="Default">
    <w:name w:val="Default"/>
    <w:rsid w:val="00C644B8"/>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104F0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512"/>
    <w:rPr>
      <w:sz w:val="24"/>
      <w:szCs w:val="24"/>
      <w:lang w:val="en-US" w:eastAsia="en-US"/>
    </w:rPr>
  </w:style>
  <w:style w:type="paragraph" w:styleId="Heading1">
    <w:name w:val="heading 1"/>
    <w:basedOn w:val="Normal"/>
    <w:next w:val="Normal"/>
    <w:qFormat/>
    <w:rsid w:val="00840512"/>
    <w:pPr>
      <w:keepNext/>
      <w:jc w:val="right"/>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mAddressee">
    <w:name w:val="UomAddressee"/>
    <w:basedOn w:val="Normal"/>
    <w:rsid w:val="00840512"/>
    <w:rPr>
      <w:rFonts w:ascii="TheSans B5 Plain" w:hAnsi="TheSans B5 Plain"/>
      <w:sz w:val="22"/>
      <w:szCs w:val="18"/>
    </w:rPr>
  </w:style>
  <w:style w:type="paragraph" w:styleId="BodyText">
    <w:name w:val="Body Text"/>
    <w:rsid w:val="00840512"/>
    <w:pPr>
      <w:spacing w:after="360"/>
    </w:pPr>
    <w:rPr>
      <w:rFonts w:ascii="TheSans B5 Plain" w:hAnsi="TheSans B5 Plain"/>
      <w:sz w:val="22"/>
      <w:szCs w:val="24"/>
      <w:lang w:val="en-US" w:eastAsia="en-US"/>
    </w:rPr>
  </w:style>
  <w:style w:type="character" w:styleId="Hyperlink">
    <w:name w:val="Hyperlink"/>
    <w:basedOn w:val="DefaultParagraphFont"/>
    <w:rsid w:val="00840512"/>
    <w:rPr>
      <w:color w:val="0000FF"/>
      <w:u w:val="single"/>
    </w:rPr>
  </w:style>
  <w:style w:type="paragraph" w:styleId="Footer">
    <w:name w:val="footer"/>
    <w:basedOn w:val="Normal"/>
    <w:rsid w:val="00840512"/>
    <w:pPr>
      <w:tabs>
        <w:tab w:val="center" w:pos="4320"/>
        <w:tab w:val="right" w:pos="8640"/>
      </w:tabs>
    </w:pPr>
  </w:style>
  <w:style w:type="character" w:styleId="PageNumber">
    <w:name w:val="page number"/>
    <w:basedOn w:val="DefaultParagraphFont"/>
    <w:rsid w:val="00840512"/>
  </w:style>
  <w:style w:type="paragraph" w:styleId="BodyTextIndent">
    <w:name w:val="Body Text Indent"/>
    <w:basedOn w:val="Normal"/>
    <w:rsid w:val="00840512"/>
    <w:pPr>
      <w:ind w:left="1122" w:hanging="402"/>
    </w:pPr>
  </w:style>
  <w:style w:type="paragraph" w:styleId="Header">
    <w:name w:val="header"/>
    <w:basedOn w:val="Normal"/>
    <w:rsid w:val="00840512"/>
    <w:pPr>
      <w:tabs>
        <w:tab w:val="center" w:pos="4320"/>
        <w:tab w:val="right" w:pos="8640"/>
      </w:tabs>
    </w:pPr>
  </w:style>
  <w:style w:type="paragraph" w:styleId="BalloonText">
    <w:name w:val="Balloon Text"/>
    <w:basedOn w:val="Normal"/>
    <w:semiHidden/>
    <w:rsid w:val="00662AFA"/>
    <w:rPr>
      <w:rFonts w:ascii="Tahoma" w:hAnsi="Tahoma" w:cs="Tahoma"/>
      <w:sz w:val="16"/>
      <w:szCs w:val="16"/>
    </w:rPr>
  </w:style>
  <w:style w:type="table" w:styleId="TableGrid">
    <w:name w:val="Table Grid"/>
    <w:basedOn w:val="TableNormal"/>
    <w:rsid w:val="0067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271A6"/>
    <w:rPr>
      <w:sz w:val="20"/>
      <w:szCs w:val="20"/>
    </w:rPr>
  </w:style>
  <w:style w:type="character" w:styleId="FootnoteReference">
    <w:name w:val="footnote reference"/>
    <w:basedOn w:val="DefaultParagraphFont"/>
    <w:semiHidden/>
    <w:rsid w:val="00C271A6"/>
    <w:rPr>
      <w:vertAlign w:val="superscript"/>
    </w:rPr>
  </w:style>
  <w:style w:type="character" w:styleId="CommentReference">
    <w:name w:val="annotation reference"/>
    <w:basedOn w:val="DefaultParagraphFont"/>
    <w:semiHidden/>
    <w:rsid w:val="00206531"/>
    <w:rPr>
      <w:sz w:val="16"/>
      <w:szCs w:val="16"/>
    </w:rPr>
  </w:style>
  <w:style w:type="paragraph" w:styleId="CommentText">
    <w:name w:val="annotation text"/>
    <w:basedOn w:val="Normal"/>
    <w:semiHidden/>
    <w:rsid w:val="00206531"/>
    <w:rPr>
      <w:sz w:val="20"/>
      <w:szCs w:val="20"/>
    </w:rPr>
  </w:style>
  <w:style w:type="paragraph" w:styleId="CommentSubject">
    <w:name w:val="annotation subject"/>
    <w:basedOn w:val="CommentText"/>
    <w:next w:val="CommentText"/>
    <w:semiHidden/>
    <w:rsid w:val="00206531"/>
    <w:rPr>
      <w:b/>
      <w:bCs/>
    </w:rPr>
  </w:style>
  <w:style w:type="paragraph" w:styleId="ListParagraph">
    <w:name w:val="List Paragraph"/>
    <w:basedOn w:val="Normal"/>
    <w:uiPriority w:val="34"/>
    <w:qFormat/>
    <w:rsid w:val="005527BF"/>
    <w:pPr>
      <w:ind w:left="720"/>
      <w:contextualSpacing/>
    </w:pPr>
  </w:style>
  <w:style w:type="paragraph" w:styleId="NormalWeb">
    <w:name w:val="Normal (Web)"/>
    <w:basedOn w:val="Normal"/>
    <w:uiPriority w:val="99"/>
    <w:unhideWhenUsed/>
    <w:rsid w:val="004E1E03"/>
    <w:pPr>
      <w:spacing w:before="100" w:beforeAutospacing="1" w:after="100" w:afterAutospacing="1"/>
    </w:pPr>
    <w:rPr>
      <w:lang w:val="en-GB" w:eastAsia="en-GB"/>
    </w:rPr>
  </w:style>
  <w:style w:type="paragraph" w:customStyle="1" w:styleId="Default">
    <w:name w:val="Default"/>
    <w:rsid w:val="00C644B8"/>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104F0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97516">
      <w:bodyDiv w:val="1"/>
      <w:marLeft w:val="0"/>
      <w:marRight w:val="0"/>
      <w:marTop w:val="0"/>
      <w:marBottom w:val="0"/>
      <w:divBdr>
        <w:top w:val="none" w:sz="0" w:space="0" w:color="auto"/>
        <w:left w:val="none" w:sz="0" w:space="0" w:color="auto"/>
        <w:bottom w:val="none" w:sz="0" w:space="0" w:color="auto"/>
        <w:right w:val="none" w:sz="0" w:space="0" w:color="auto"/>
      </w:divBdr>
      <w:divsChild>
        <w:div w:id="829105556">
          <w:marLeft w:val="1320"/>
          <w:marRight w:val="0"/>
          <w:marTop w:val="2040"/>
          <w:marBottom w:val="0"/>
          <w:divBdr>
            <w:top w:val="none" w:sz="0" w:space="0" w:color="auto"/>
            <w:left w:val="none" w:sz="0" w:space="0" w:color="auto"/>
            <w:bottom w:val="none" w:sz="0" w:space="0" w:color="auto"/>
            <w:right w:val="none" w:sz="0" w:space="0" w:color="auto"/>
          </w:divBdr>
          <w:divsChild>
            <w:div w:id="4064935">
              <w:marLeft w:val="276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815F-AC56-4E3B-9B24-91857E91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5436</Words>
  <Characters>30988</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PLANNING AND RESOURCES COMMITTEE</vt:lpstr>
    </vt:vector>
  </TitlesOfParts>
  <Company>University of Manchester</Company>
  <LinksUpToDate>false</LinksUpToDate>
  <CharactersWithSpaces>36352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RESOURCES COMMITTEE</dc:title>
  <dc:creator>MCISO</dc:creator>
  <cp:lastModifiedBy>Pia Pollock</cp:lastModifiedBy>
  <cp:revision>2</cp:revision>
  <cp:lastPrinted>2016-01-25T11:25:00Z</cp:lastPrinted>
  <dcterms:created xsi:type="dcterms:W3CDTF">2016-01-26T08:49:00Z</dcterms:created>
  <dcterms:modified xsi:type="dcterms:W3CDTF">2016-01-26T08:49:00Z</dcterms:modified>
</cp:coreProperties>
</file>