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64C0" w14:textId="77777777" w:rsidR="0005133D" w:rsidRPr="00DB59EA" w:rsidRDefault="0005133D" w:rsidP="00BB1B64">
      <w:pPr>
        <w:pStyle w:val="BodyTextIndent"/>
        <w:ind w:left="3600"/>
        <w:rPr>
          <w:rFonts w:ascii="Verdana" w:hAnsi="Verdana"/>
          <w:b/>
          <w:bCs/>
          <w:sz w:val="36"/>
        </w:rPr>
      </w:pPr>
      <w:r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14:paraId="7345DD42" w14:textId="77777777" w:rsidR="0020100F" w:rsidRPr="00DB59EA" w:rsidRDefault="00C86360" w:rsidP="00DB59EA">
      <w:pPr>
        <w:pStyle w:val="BodyTextIndent"/>
        <w:rPr>
          <w:rFonts w:ascii="Verdana" w:hAnsi="Verdana"/>
          <w:sz w:val="20"/>
        </w:rPr>
      </w:pPr>
      <w:r w:rsidRPr="00DB59EA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692BB5F1" wp14:editId="4CEFC6ED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8F47E5" w:rsidRPr="003708A9" w14:paraId="57CB0E85" w14:textId="77777777" w:rsidTr="008A7B06">
        <w:trPr>
          <w:cantSplit/>
          <w:trHeight w:val="589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54D2FA3C" w14:textId="77777777" w:rsidR="008F47E5" w:rsidRDefault="008F47E5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Date: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14:paraId="5A462011" w14:textId="4A7D29CD" w:rsidR="00C00FBE" w:rsidRPr="003516DF" w:rsidRDefault="00C00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4F490604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Assessed by: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14:paraId="3F789920" w14:textId="3EB97524" w:rsidR="00CA2B83" w:rsidRPr="00D3727E" w:rsidRDefault="00CA2B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10973A05" w14:textId="77777777" w:rsidR="00EF7311" w:rsidRDefault="00896503" w:rsidP="00874863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Checked / </w:t>
            </w:r>
            <w:r w:rsidR="00B613A2" w:rsidRPr="00D86E02">
              <w:rPr>
                <w:rFonts w:ascii="Verdana" w:hAnsi="Verdana"/>
                <w:b/>
                <w:sz w:val="18"/>
                <w:szCs w:val="18"/>
              </w:rPr>
              <w:t>by: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  <w:r w:rsidR="00EE3D45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 w14:paraId="149979AE" w14:textId="6BCFAD7C" w:rsidR="00874863" w:rsidRPr="008A7B06" w:rsidRDefault="00874863" w:rsidP="0087486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180C9BD8" w14:textId="77777777" w:rsidR="00874863" w:rsidRDefault="008F47E5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(4</w:t>
            </w:r>
            <w:r w:rsidR="00853E07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</w:p>
          <w:p w14:paraId="5EDDD3F6" w14:textId="193F4BDC" w:rsidR="009D5EF8" w:rsidRPr="002277AD" w:rsidRDefault="009D5EF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7F1976B4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14:paraId="0EEBDEA4" w14:textId="77777777" w:rsidR="00EF7311" w:rsidRPr="00D86E02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09C8E7D0" w14:textId="77777777" w:rsid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Review date: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14:paraId="7B71CCCF" w14:textId="2C4DFA49" w:rsidR="00EF7311" w:rsidRPr="008A7B06" w:rsidRDefault="00EF73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13A2" w:rsidRPr="003708A9" w14:paraId="4A49D168" w14:textId="77777777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23F8DEC2" w14:textId="70D8D391" w:rsidR="00853E07" w:rsidRDefault="00B613A2" w:rsidP="00853E07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Task / premises: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  <w:r w:rsidR="00EE3D45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 w14:paraId="49394CC0" w14:textId="056E9A01" w:rsidR="002B37D2" w:rsidRPr="00B75077" w:rsidRDefault="002B37D2" w:rsidP="00853E07">
            <w:pPr>
              <w:rPr>
                <w:rFonts w:ascii="Verdana" w:hAnsi="Verdana"/>
                <w:sz w:val="18"/>
                <w:szCs w:val="18"/>
              </w:rPr>
            </w:pPr>
            <w:r w:rsidRPr="00B75077">
              <w:rPr>
                <w:rFonts w:ascii="Verdana" w:hAnsi="Verdana"/>
                <w:sz w:val="18"/>
                <w:szCs w:val="18"/>
              </w:rPr>
              <w:t>Risk Assessment for LiFePO4 Battery Packs.</w:t>
            </w:r>
          </w:p>
          <w:p w14:paraId="1D86752C" w14:textId="4816EA94" w:rsidR="00EE3D45" w:rsidRPr="003708A9" w:rsidRDefault="00EE3D45" w:rsidP="006D61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F35402" w14:textId="77777777" w:rsidR="0020100F" w:rsidRPr="003708A9" w:rsidRDefault="0020100F">
      <w:pPr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843"/>
        <w:gridCol w:w="1984"/>
        <w:gridCol w:w="6946"/>
        <w:gridCol w:w="992"/>
        <w:gridCol w:w="905"/>
      </w:tblGrid>
      <w:tr w:rsidR="0020100F" w:rsidRPr="003708A9" w14:paraId="1F35B7E7" w14:textId="77777777" w:rsidTr="008A7B06">
        <w:trPr>
          <w:cantSplit/>
          <w:tblHeader/>
          <w:jc w:val="center"/>
        </w:trPr>
        <w:tc>
          <w:tcPr>
            <w:tcW w:w="1505" w:type="dxa"/>
            <w:shd w:val="clear" w:color="auto" w:fill="E0E0E0"/>
          </w:tcPr>
          <w:p w14:paraId="6DEA804E" w14:textId="77777777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Activity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843" w:type="dxa"/>
            <w:shd w:val="clear" w:color="auto" w:fill="E0E0E0"/>
          </w:tcPr>
          <w:p w14:paraId="58491749" w14:textId="77777777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Hazard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84" w:type="dxa"/>
            <w:shd w:val="clear" w:color="auto" w:fill="E0E0E0"/>
          </w:tcPr>
          <w:p w14:paraId="070F3B8B" w14:textId="77777777" w:rsidR="0020100F" w:rsidRPr="00D86E02" w:rsidRDefault="00635DF2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6946" w:type="dxa"/>
            <w:shd w:val="clear" w:color="auto" w:fill="E0E0E0"/>
          </w:tcPr>
          <w:p w14:paraId="6E6BE5D0" w14:textId="77777777" w:rsidR="0020100F" w:rsidRPr="00D86E02" w:rsidRDefault="0020100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992" w:type="dxa"/>
            <w:shd w:val="clear" w:color="auto" w:fill="E0E0E0"/>
          </w:tcPr>
          <w:p w14:paraId="3C5C3DBF" w14:textId="77777777" w:rsidR="0020100F" w:rsidRPr="00D86E02" w:rsidRDefault="00BD53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Risk rating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905" w:type="dxa"/>
            <w:shd w:val="clear" w:color="auto" w:fill="E0E0E0"/>
          </w:tcPr>
          <w:p w14:paraId="39B9927E" w14:textId="77777777" w:rsidR="0020100F" w:rsidRPr="00D86E02" w:rsidRDefault="0020100F" w:rsidP="00B613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Result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C00FBE" w:rsidRPr="003708A9" w14:paraId="6A75DCF7" w14:textId="77777777" w:rsidTr="008A7B06">
        <w:trPr>
          <w:cantSplit/>
          <w:jc w:val="center"/>
        </w:trPr>
        <w:tc>
          <w:tcPr>
            <w:tcW w:w="1505" w:type="dxa"/>
          </w:tcPr>
          <w:p w14:paraId="2547E8E1" w14:textId="77777777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Battery Charging/Discharging</w:t>
            </w:r>
          </w:p>
          <w:p w14:paraId="6259A926" w14:textId="77777777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BB1150" w14:textId="52BDC44C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Fire, smoke and fumes, burns from an overheated battery pack, corrosive burns from escaping electrolyte. Fragments from an exploding battery pack (worse case).</w:t>
            </w:r>
          </w:p>
        </w:tc>
        <w:tc>
          <w:tcPr>
            <w:tcW w:w="1984" w:type="dxa"/>
          </w:tcPr>
          <w:p w14:paraId="5520792A" w14:textId="77777777" w:rsidR="00C00FBE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University staff, students and visitors – anybody near battery.</w:t>
            </w:r>
          </w:p>
          <w:p w14:paraId="3794033A" w14:textId="77777777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9D52D21" w14:textId="7AA4E3FF" w:rsidR="00C00FBE" w:rsidRPr="00DB3EB7" w:rsidRDefault="00C00FBE" w:rsidP="00C00FBE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 xml:space="preserve">LiFePO4 Battery Packs </w:t>
            </w:r>
            <w:r w:rsidR="007A78B9">
              <w:rPr>
                <w:rFonts w:ascii="Verdana" w:hAnsi="Verdana"/>
                <w:sz w:val="18"/>
                <w:szCs w:val="18"/>
              </w:rPr>
              <w:t xml:space="preserve">were selected as they are a safer chemistry and are not known for catching on fire (compared to alnenertive </w:t>
            </w:r>
            <w:r w:rsidRPr="00DB3EB7">
              <w:rPr>
                <w:rFonts w:ascii="Verdana" w:hAnsi="Verdana"/>
                <w:sz w:val="18"/>
                <w:szCs w:val="18"/>
              </w:rPr>
              <w:t>Li Polymer</w:t>
            </w:r>
            <w:r w:rsidR="007A78B9">
              <w:rPr>
                <w:rFonts w:ascii="Verdana" w:hAnsi="Verdana"/>
                <w:sz w:val="18"/>
                <w:szCs w:val="18"/>
              </w:rPr>
              <w:t xml:space="preserve"> and ion chemistries). This RA only covers LiFePO4 Battery Packs that</w:t>
            </w:r>
            <w:r w:rsidRPr="00DB3EB7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623121E7" w14:textId="77777777" w:rsidR="00C00FBE" w:rsidRDefault="00C00FBE" w:rsidP="00C00FB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C22202">
              <w:rPr>
                <w:rFonts w:ascii="Verdana" w:hAnsi="Verdana"/>
                <w:sz w:val="18"/>
                <w:szCs w:val="18"/>
              </w:rPr>
              <w:t xml:space="preserve">A Battery Management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22202">
              <w:rPr>
                <w:rFonts w:ascii="Verdana" w:hAnsi="Verdana"/>
                <w:sz w:val="18"/>
                <w:szCs w:val="18"/>
              </w:rPr>
              <w:t xml:space="preserve">ystem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C22202">
              <w:rPr>
                <w:rFonts w:ascii="Verdana" w:hAnsi="Verdana"/>
                <w:b/>
                <w:bCs/>
                <w:sz w:val="18"/>
                <w:szCs w:val="18"/>
              </w:rPr>
              <w:t>BMS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C22202">
              <w:rPr>
                <w:rFonts w:ascii="Verdana" w:hAnsi="Verdana"/>
                <w:sz w:val="18"/>
                <w:szCs w:val="18"/>
              </w:rPr>
              <w:t>is embedded in the battery pack ot ensure all cells are charging/discharging to the same potential.</w:t>
            </w:r>
          </w:p>
          <w:p w14:paraId="11EE8FBC" w14:textId="77777777" w:rsidR="00C00FBE" w:rsidRPr="00C22202" w:rsidRDefault="00C00FBE" w:rsidP="00C00FB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internal protection circuit AKA </w:t>
            </w:r>
            <w:r w:rsidRPr="00C22202">
              <w:rPr>
                <w:rFonts w:ascii="Verdana" w:hAnsi="Verdana"/>
                <w:b/>
                <w:bCs/>
                <w:sz w:val="18"/>
                <w:szCs w:val="18"/>
              </w:rPr>
              <w:t>BMS</w:t>
            </w:r>
            <w:r>
              <w:rPr>
                <w:rFonts w:ascii="Verdana" w:hAnsi="Verdana"/>
                <w:sz w:val="18"/>
                <w:szCs w:val="18"/>
              </w:rPr>
              <w:t>, mentioned above, should also help protect the battery from any abnormal charging conditions e.g. in the unlikely case of a faulty battery charger.</w:t>
            </w:r>
          </w:p>
          <w:p w14:paraId="080CD998" w14:textId="7A1B2B62" w:rsidR="00C00FBE" w:rsidRPr="00C22202" w:rsidRDefault="00C00FBE" w:rsidP="00C00FB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C22202">
              <w:rPr>
                <w:rFonts w:ascii="Verdana" w:hAnsi="Verdana"/>
                <w:sz w:val="18"/>
                <w:szCs w:val="18"/>
              </w:rPr>
              <w:t>An additional DC-DC converter will be used before the connection to the load to ensure battery pack doesn’t</w:t>
            </w:r>
            <w:r w:rsidR="007A78B9">
              <w:rPr>
                <w:rFonts w:ascii="Verdana" w:hAnsi="Verdana"/>
                <w:sz w:val="18"/>
                <w:szCs w:val="18"/>
              </w:rPr>
              <w:t xml:space="preserve"> discharge bel</w:t>
            </w:r>
            <w:r w:rsidRPr="00C22202">
              <w:rPr>
                <w:rFonts w:ascii="Verdana" w:hAnsi="Verdana"/>
                <w:sz w:val="18"/>
                <w:szCs w:val="18"/>
              </w:rPr>
              <w:t xml:space="preserve">ow set threshold levels.  </w:t>
            </w:r>
          </w:p>
          <w:p w14:paraId="70045BD5" w14:textId="77777777" w:rsidR="00C00FBE" w:rsidRPr="00C22202" w:rsidRDefault="00C00FBE" w:rsidP="00C00FBE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/>
                <w:color w:val="00000A"/>
                <w:sz w:val="18"/>
                <w:szCs w:val="18"/>
                <w:bdr w:val="none" w:sz="0" w:space="0" w:color="auto" w:frame="1"/>
              </w:rPr>
              <w:t>Always read safety labels on batteries and PSU: understand their individual operational ranges ( to ensure battery doesn’t get stressed).</w:t>
            </w:r>
          </w:p>
          <w:p w14:paraId="7243DC62" w14:textId="46C901FA" w:rsidR="00C00FBE" w:rsidRPr="00C22202" w:rsidRDefault="007A78B9" w:rsidP="00C00FB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LiFePO4</w:t>
            </w:r>
            <w:r w:rsidR="00C00FBE" w:rsidRPr="00C22202">
              <w:rPr>
                <w:rFonts w:ascii="Verdana" w:hAnsi="Verdana"/>
                <w:sz w:val="18"/>
                <w:szCs w:val="18"/>
              </w:rPr>
              <w:t xml:space="preserve"> batteries (or any other battery for that matter) must not be left un</w:t>
            </w:r>
            <w:r>
              <w:rPr>
                <w:rFonts w:ascii="Verdana" w:hAnsi="Verdana"/>
                <w:sz w:val="18"/>
                <w:szCs w:val="18"/>
              </w:rPr>
              <w:t>attended whilst charging or</w:t>
            </w:r>
            <w:r w:rsidR="00C00FBE" w:rsidRPr="00C22202">
              <w:rPr>
                <w:rFonts w:ascii="Verdana" w:hAnsi="Verdana"/>
                <w:sz w:val="18"/>
                <w:szCs w:val="18"/>
              </w:rPr>
              <w:t xml:space="preserve"> left charging overnight.</w:t>
            </w:r>
          </w:p>
          <w:p w14:paraId="444CA7C1" w14:textId="4E6CA8D2" w:rsidR="00C00FBE" w:rsidRPr="00C00FBE" w:rsidRDefault="00C00FBE" w:rsidP="007A78B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/>
                <w:sz w:val="18"/>
                <w:szCs w:val="18"/>
                <w:bdr w:val="none" w:sz="0" w:space="0" w:color="auto" w:frame="1"/>
              </w:rPr>
              <w:t>This battery pack has its own charger t</w:t>
            </w:r>
            <w:r w:rsidR="007A78B9">
              <w:rPr>
                <w:rStyle w:val="normaltextrun"/>
                <w:rFonts w:ascii="Verdana" w:hAnsi="Verdana"/>
                <w:sz w:val="18"/>
                <w:szCs w:val="18"/>
                <w:bdr w:val="none" w:sz="0" w:space="0" w:color="auto" w:frame="1"/>
              </w:rPr>
              <w:t>hat is intended to be used with. Both the battery and charger are labelled to show that they work together</w:t>
            </w:r>
            <w:r w:rsidRPr="00DB3EB7">
              <w:rPr>
                <w:rStyle w:val="normaltextrun"/>
                <w:rFonts w:ascii="Verdana" w:hAnsi="Verdana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14:paraId="4BCC6F3B" w14:textId="02869B01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7CD3F549" w14:textId="00F526AC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FB55C1" w:rsidRPr="003708A9" w14:paraId="30418642" w14:textId="77777777" w:rsidTr="008A7B06">
        <w:trPr>
          <w:cantSplit/>
          <w:jc w:val="center"/>
        </w:trPr>
        <w:tc>
          <w:tcPr>
            <w:tcW w:w="1505" w:type="dxa"/>
          </w:tcPr>
          <w:p w14:paraId="553E5FA5" w14:textId="6204579E" w:rsidR="00FB55C1" w:rsidRPr="00DB3EB7" w:rsidRDefault="00FB55C1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lastRenderedPageBreak/>
              <w:t>Battery Storage</w:t>
            </w:r>
          </w:p>
          <w:p w14:paraId="54E818F4" w14:textId="77777777" w:rsidR="00FB55C1" w:rsidRPr="00DB3EB7" w:rsidRDefault="00FB55C1" w:rsidP="006D61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122493" w14:textId="3199C930" w:rsidR="00FB55C1" w:rsidRPr="00DB3EB7" w:rsidRDefault="00FB55C1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Electrical Shock</w:t>
            </w:r>
          </w:p>
        </w:tc>
        <w:tc>
          <w:tcPr>
            <w:tcW w:w="1984" w:type="dxa"/>
          </w:tcPr>
          <w:p w14:paraId="3E1216BC" w14:textId="5A4213E7" w:rsidR="00FB55C1" w:rsidRPr="00DB3EB7" w:rsidRDefault="00FB55C1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Staff, user</w:t>
            </w:r>
          </w:p>
        </w:tc>
        <w:tc>
          <w:tcPr>
            <w:tcW w:w="6946" w:type="dxa"/>
          </w:tcPr>
          <w:p w14:paraId="5739900A" w14:textId="33BA9E20" w:rsidR="00FB55C1" w:rsidRPr="00DB3EB7" w:rsidRDefault="007A78B9" w:rsidP="001146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metal </w:t>
            </w:r>
            <w:r w:rsidR="00FB55C1" w:rsidRPr="00DB3EB7">
              <w:rPr>
                <w:rFonts w:ascii="Verdana" w:hAnsi="Verdana"/>
                <w:sz w:val="18"/>
                <w:szCs w:val="18"/>
              </w:rPr>
              <w:t xml:space="preserve">enclosure has been built to host the sensor and also the battery pack. </w:t>
            </w:r>
          </w:p>
          <w:p w14:paraId="17D66464" w14:textId="77777777" w:rsidR="00114630" w:rsidRPr="00DB3EB7" w:rsidRDefault="00FB55C1" w:rsidP="001146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 xml:space="preserve">Battery must be kept inside the metallic enclosure at all times unless the system will be running on mains power. </w:t>
            </w:r>
          </w:p>
          <w:p w14:paraId="46758504" w14:textId="39A51579" w:rsidR="0010642B" w:rsidRPr="00DB3EB7" w:rsidRDefault="00FB55C1" w:rsidP="00FB55C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When running on mains power the bat</w:t>
            </w:r>
            <w:r w:rsidR="006D61D4">
              <w:rPr>
                <w:rFonts w:ascii="Verdana" w:hAnsi="Verdana"/>
                <w:sz w:val="18"/>
                <w:szCs w:val="18"/>
              </w:rPr>
              <w:t>tery terminals should be protec</w:t>
            </w:r>
            <w:r w:rsidRPr="00DB3EB7">
              <w:rPr>
                <w:rFonts w:ascii="Verdana" w:hAnsi="Verdana"/>
                <w:sz w:val="18"/>
                <w:szCs w:val="18"/>
              </w:rPr>
              <w:t>ted with plastic caps to give an additional safety measure to users getting an electric shock.</w:t>
            </w:r>
            <w:r w:rsidR="0010642B" w:rsidRPr="00DB3EB7">
              <w:rPr>
                <w:rFonts w:ascii="Verdana" w:hAnsi="Verdana"/>
                <w:sz w:val="18"/>
                <w:szCs w:val="18"/>
              </w:rPr>
              <w:t>Can use electrical tape if caps cannot be found,to ensure that leads are never exposed</w:t>
            </w:r>
            <w:r w:rsidR="00114630" w:rsidRPr="00DB3EB7">
              <w:rPr>
                <w:rFonts w:ascii="Verdana" w:hAnsi="Verdana"/>
                <w:sz w:val="18"/>
                <w:szCs w:val="18"/>
              </w:rPr>
              <w:t>.</w:t>
            </w:r>
          </w:p>
          <w:p w14:paraId="72781FF3" w14:textId="77777777" w:rsidR="00DE6A43" w:rsidRPr="00DB3EB7" w:rsidRDefault="00DE6A43" w:rsidP="00DE6A43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 xml:space="preserve">Avoid mechanical or electrical abuse. Storage preferably in cool, dry and ventilated area, which is subject to little temperature change. Storage at high temperatures should be avoided. </w:t>
            </w:r>
          </w:p>
          <w:p w14:paraId="56FF0363" w14:textId="6AC714DC" w:rsidR="00DE6A43" w:rsidRPr="00DB3EB7" w:rsidRDefault="00DE6A43" w:rsidP="00DE6A43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Do not place the battery near heating equipment, nor expose to direct sunlight for longperiods.</w:t>
            </w:r>
          </w:p>
        </w:tc>
        <w:tc>
          <w:tcPr>
            <w:tcW w:w="992" w:type="dxa"/>
          </w:tcPr>
          <w:p w14:paraId="1031C5AF" w14:textId="5502A0DB" w:rsidR="00FB55C1" w:rsidRPr="00DB3EB7" w:rsidRDefault="00097AD0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60798072" w14:textId="3DF7D6C7" w:rsidR="00FB55C1" w:rsidRPr="00DB3EB7" w:rsidRDefault="00FB55C1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C00FBE" w:rsidRPr="003708A9" w14:paraId="2F579221" w14:textId="77777777" w:rsidTr="0019286A">
        <w:trPr>
          <w:cantSplit/>
          <w:jc w:val="center"/>
        </w:trPr>
        <w:tc>
          <w:tcPr>
            <w:tcW w:w="1505" w:type="dxa"/>
            <w:vAlign w:val="center"/>
          </w:tcPr>
          <w:p w14:paraId="0D47E059" w14:textId="2FC8060A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Disposal of batteries</w:t>
            </w:r>
          </w:p>
        </w:tc>
        <w:tc>
          <w:tcPr>
            <w:tcW w:w="1843" w:type="dxa"/>
            <w:vAlign w:val="center"/>
          </w:tcPr>
          <w:p w14:paraId="19765E1F" w14:textId="279C69F4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Defective batteries, or batteries close to their limits in terms of charge might catch fire</w:t>
            </w:r>
          </w:p>
        </w:tc>
        <w:tc>
          <w:tcPr>
            <w:tcW w:w="1984" w:type="dxa"/>
            <w:vAlign w:val="center"/>
          </w:tcPr>
          <w:p w14:paraId="36997196" w14:textId="77777777" w:rsidR="00C00FBE" w:rsidRPr="00DB3EB7" w:rsidRDefault="00C00FBE" w:rsidP="006D61D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All people in the area</w:t>
            </w:r>
          </w:p>
          <w:p w14:paraId="37A746F5" w14:textId="77777777" w:rsidR="00C00FBE" w:rsidRPr="00DB3EB7" w:rsidRDefault="00C00FBE" w:rsidP="006D61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A"/>
                <w:sz w:val="18"/>
                <w:szCs w:val="18"/>
              </w:rPr>
            </w:pPr>
          </w:p>
          <w:p w14:paraId="6D05900B" w14:textId="2759F913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Fire</w:t>
            </w:r>
          </w:p>
        </w:tc>
        <w:tc>
          <w:tcPr>
            <w:tcW w:w="6946" w:type="dxa"/>
            <w:vAlign w:val="center"/>
          </w:tcPr>
          <w:p w14:paraId="41B52019" w14:textId="77777777" w:rsidR="00C00FBE" w:rsidRPr="00DB3EB7" w:rsidRDefault="00C00FBE" w:rsidP="00C00FB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Batteries are not to be disposed with general waste.</w:t>
            </w:r>
          </w:p>
          <w:p w14:paraId="5C9D42E3" w14:textId="2BB0B739" w:rsidR="00C00FBE" w:rsidRPr="00DB3EB7" w:rsidRDefault="006D61D4" w:rsidP="00C00FB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Contact campus cleansing for advice on safe dispoal. </w:t>
            </w:r>
          </w:p>
          <w:p w14:paraId="7EF57DA0" w14:textId="68C2BBC2" w:rsidR="00C00FBE" w:rsidRPr="00DB3EB7" w:rsidRDefault="007A78B9" w:rsidP="00C00FB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For disposal t</w:t>
            </w:r>
            <w:r w:rsidR="00C00FBE"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he terminals should be taped and stored in a suitable and labelled c</w:t>
            </w:r>
            <w:r w:rsidR="006D61D4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ardboard or plastic container. </w:t>
            </w:r>
            <w:r w:rsidR="00C00FBE"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Batteries should be bubble wrapped and kept apart from each other. </w:t>
            </w:r>
          </w:p>
          <w:p w14:paraId="2AE1632E" w14:textId="51814C60" w:rsidR="00C00FBE" w:rsidRPr="00DB3EB7" w:rsidRDefault="00C00FBE" w:rsidP="00C00FB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It is recommended to discharge the battery to the end, to use up the metal lithium inside the battery, and to bu</w:t>
            </w:r>
            <w:r w:rsidR="007A78B9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ry the discharged battery in sand</w:t>
            </w: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.</w:t>
            </w:r>
          </w:p>
          <w:p w14:paraId="23A69F86" w14:textId="77777777" w:rsidR="00C00FBE" w:rsidRPr="00DB3EB7" w:rsidRDefault="00C00FBE" w:rsidP="00C00FB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The battery should not be opened, destroyed or incinerate, since they may leak or rupture and release to the environment the ingredients that they containin the hermetically sealed container.</w:t>
            </w:r>
          </w:p>
          <w:p w14:paraId="0973EC76" w14:textId="4A4299EA" w:rsidR="00C00FBE" w:rsidRPr="00DB3EB7" w:rsidRDefault="00C00FBE" w:rsidP="00C00FBE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Do not short circuit terminals, or over charge the battery, forced over-discharge, throw to fire. Do not crush or puncture the battery, or immerse in liquids.</w:t>
            </w:r>
          </w:p>
        </w:tc>
        <w:tc>
          <w:tcPr>
            <w:tcW w:w="992" w:type="dxa"/>
          </w:tcPr>
          <w:p w14:paraId="3F432516" w14:textId="781795B9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Medium</w:t>
            </w:r>
          </w:p>
        </w:tc>
        <w:tc>
          <w:tcPr>
            <w:tcW w:w="905" w:type="dxa"/>
          </w:tcPr>
          <w:p w14:paraId="0DF29C01" w14:textId="3BD7D3BE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C00FBE" w:rsidRPr="003708A9" w14:paraId="39458F7C" w14:textId="77777777" w:rsidTr="00033742">
        <w:trPr>
          <w:cantSplit/>
          <w:jc w:val="center"/>
        </w:trPr>
        <w:tc>
          <w:tcPr>
            <w:tcW w:w="1505" w:type="dxa"/>
          </w:tcPr>
          <w:p w14:paraId="52E133C0" w14:textId="1F4FAC56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Battery</w:t>
            </w:r>
          </w:p>
        </w:tc>
        <w:tc>
          <w:tcPr>
            <w:tcW w:w="1843" w:type="dxa"/>
          </w:tcPr>
          <w:p w14:paraId="4E932D3E" w14:textId="77777777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Malfucntion</w:t>
            </w:r>
          </w:p>
          <w:p w14:paraId="248B320E" w14:textId="0765396F" w:rsidR="00C00FBE" w:rsidRPr="00DB3EB7" w:rsidRDefault="00C00FBE" w:rsidP="006D61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0C0CBE" w14:textId="7F3B80BB" w:rsidR="00C00FBE" w:rsidRPr="00DB3EB7" w:rsidRDefault="00C00FBE" w:rsidP="006D61D4">
            <w:pPr>
              <w:pStyle w:val="paragraph"/>
              <w:spacing w:before="0" w:beforeAutospacing="0" w:after="0" w:afterAutospacing="0"/>
              <w:textAlignment w:val="baseline"/>
              <w:divId w:val="1608610730"/>
              <w:rPr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Staff, user</w:t>
            </w:r>
          </w:p>
        </w:tc>
        <w:tc>
          <w:tcPr>
            <w:tcW w:w="6946" w:type="dxa"/>
          </w:tcPr>
          <w:p w14:paraId="28C684A4" w14:textId="2F96E818" w:rsidR="00C00FBE" w:rsidRPr="00DB3EB7" w:rsidRDefault="00C00FBE" w:rsidP="00C00FBE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 xml:space="preserve">Battery packs must get a visual inspection </w:t>
            </w:r>
            <w:r w:rsidR="006D61D4">
              <w:rPr>
                <w:rFonts w:ascii="Verdana" w:hAnsi="Verdana"/>
                <w:sz w:val="18"/>
                <w:szCs w:val="18"/>
              </w:rPr>
              <w:t xml:space="preserve">prior to installation. </w:t>
            </w:r>
            <w:r w:rsidR="007A78B9">
              <w:rPr>
                <w:rFonts w:ascii="Verdana" w:hAnsi="Verdana"/>
                <w:sz w:val="18"/>
                <w:szCs w:val="18"/>
              </w:rPr>
              <w:t>Everytime the battery is used or charged (or once every 6 months if unused)</w:t>
            </w:r>
            <w:r w:rsidRPr="00DB3EB7">
              <w:rPr>
                <w:rFonts w:ascii="Verdana" w:hAnsi="Verdana"/>
                <w:sz w:val="18"/>
                <w:szCs w:val="18"/>
              </w:rPr>
              <w:t xml:space="preserve"> a visual inspection should be made to ensure no visible scratches or dents can be seen on the battery.</w:t>
            </w:r>
          </w:p>
          <w:p w14:paraId="68519DB4" w14:textId="105B4F6A" w:rsidR="00C00FBE" w:rsidRPr="00DB3EB7" w:rsidRDefault="00C00FBE" w:rsidP="00C00FB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divId w:val="226498240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  <w:t>Never use Batteries that are swollen, or show signs of damage. Report any defected batteries for safe disposal.</w:t>
            </w:r>
            <w:r w:rsidRPr="00DB3EB7">
              <w:rPr>
                <w:rStyle w:val="eop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14:paraId="1E1BE393" w14:textId="1A02581F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Low-Medium</w:t>
            </w:r>
          </w:p>
        </w:tc>
        <w:tc>
          <w:tcPr>
            <w:tcW w:w="905" w:type="dxa"/>
          </w:tcPr>
          <w:p w14:paraId="2EF6486F" w14:textId="66FB6318" w:rsidR="00C00FBE" w:rsidRPr="00DB3EB7" w:rsidRDefault="00C00FBE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DB3EB7" w:rsidRPr="003708A9" w14:paraId="366CB4BB" w14:textId="77777777" w:rsidTr="007876FC">
        <w:trPr>
          <w:cantSplit/>
          <w:jc w:val="center"/>
        </w:trPr>
        <w:tc>
          <w:tcPr>
            <w:tcW w:w="1505" w:type="dxa"/>
            <w:vAlign w:val="center"/>
          </w:tcPr>
          <w:p w14:paraId="3CACDA91" w14:textId="293222AA" w:rsidR="00DB3EB7" w:rsidRPr="00DB3EB7" w:rsidRDefault="00DB3EB7" w:rsidP="006D61D4">
            <w:pP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  <w:lastRenderedPageBreak/>
              <w:t>Transporting batteries</w:t>
            </w:r>
          </w:p>
        </w:tc>
        <w:tc>
          <w:tcPr>
            <w:tcW w:w="1843" w:type="dxa"/>
            <w:vAlign w:val="center"/>
          </w:tcPr>
          <w:p w14:paraId="4E49CF0E" w14:textId="0235DA2B" w:rsidR="00DB3EB7" w:rsidRPr="00DB3EB7" w:rsidRDefault="00DB3EB7" w:rsidP="006D61D4">
            <w:pP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Falling objects</w:t>
            </w:r>
          </w:p>
        </w:tc>
        <w:tc>
          <w:tcPr>
            <w:tcW w:w="1984" w:type="dxa"/>
            <w:vAlign w:val="center"/>
          </w:tcPr>
          <w:p w14:paraId="009938E3" w14:textId="16117DE5" w:rsidR="00DB3EB7" w:rsidRPr="00DB3EB7" w:rsidRDefault="00DB3EB7" w:rsidP="006D61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User transporting</w:t>
            </w:r>
          </w:p>
        </w:tc>
        <w:tc>
          <w:tcPr>
            <w:tcW w:w="6946" w:type="dxa"/>
            <w:vAlign w:val="center"/>
          </w:tcPr>
          <w:p w14:paraId="64E0BCF2" w14:textId="5010F728" w:rsidR="00DB3EB7" w:rsidRPr="00DB3EB7" w:rsidRDefault="00DB3EB7" w:rsidP="00DB3EB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Always wear metallic toe capped safety shoes when</w:t>
            </w:r>
            <w:r w:rsidR="006D61D4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 lifting/transporting batteries</w:t>
            </w: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. </w:t>
            </w:r>
          </w:p>
          <w:p w14:paraId="067CDF68" w14:textId="77777777" w:rsidR="00C22202" w:rsidRDefault="00DB3EB7" w:rsidP="00C2220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User should use good lifting ergonomics when lifting and transporting the batteries.</w:t>
            </w:r>
          </w:p>
          <w:p w14:paraId="27D6C2FC" w14:textId="77777777" w:rsidR="009D5EF8" w:rsidRPr="009D5EF8" w:rsidRDefault="00C22202" w:rsidP="00C2220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color w:val="00000A"/>
                <w:sz w:val="18"/>
                <w:szCs w:val="18"/>
              </w:rPr>
            </w:pPr>
            <w:r w:rsidRPr="00C22202">
              <w:rPr>
                <w:rFonts w:ascii="Verdana" w:hAnsi="Verdana"/>
                <w:sz w:val="18"/>
                <w:szCs w:val="18"/>
              </w:rPr>
              <w:t>Always transport Lithium batteries in the appropriate packaging for fire containment and to minimise mechanical shock. There should also be warning labels as to the packaging contents.</w:t>
            </w:r>
          </w:p>
          <w:p w14:paraId="1C5BB4C4" w14:textId="47BADEC1" w:rsidR="00C22202" w:rsidRPr="00C22202" w:rsidRDefault="009D5EF8" w:rsidP="00C2220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This risk assessment does not cover the transport of these batteries off the university site by car or by any other method</w:t>
            </w:r>
            <w:r w:rsidR="00C22202" w:rsidRPr="00C22202">
              <w:rPr>
                <w:rFonts w:ascii="Verdana" w:hAnsi="Verdana"/>
                <w:sz w:val="18"/>
                <w:szCs w:val="18"/>
              </w:rPr>
              <w:t>.</w:t>
            </w:r>
          </w:p>
          <w:p w14:paraId="1128060E" w14:textId="2DCDB58E" w:rsidR="00C22202" w:rsidRPr="00C22202" w:rsidRDefault="00C22202" w:rsidP="00C222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7CF34B" w14:textId="1B655BF2" w:rsidR="00DB3EB7" w:rsidRPr="00DB3EB7" w:rsidRDefault="00DB3EB7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Medium</w:t>
            </w:r>
          </w:p>
        </w:tc>
        <w:tc>
          <w:tcPr>
            <w:tcW w:w="905" w:type="dxa"/>
          </w:tcPr>
          <w:p w14:paraId="1F8E7008" w14:textId="1A8523EA" w:rsidR="00DB3EB7" w:rsidRPr="00DB3EB7" w:rsidRDefault="00DB3EB7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C22202" w:rsidRPr="003708A9" w14:paraId="1B074E4D" w14:textId="77777777" w:rsidTr="003E654F">
        <w:trPr>
          <w:cantSplit/>
          <w:jc w:val="center"/>
        </w:trPr>
        <w:tc>
          <w:tcPr>
            <w:tcW w:w="1505" w:type="dxa"/>
          </w:tcPr>
          <w:p w14:paraId="499A6F8B" w14:textId="6C345836" w:rsidR="00C22202" w:rsidRDefault="00C22202" w:rsidP="006D61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Workin</w:t>
            </w:r>
            <w:r w:rsidR="006D61D4">
              <w:rPr>
                <w:rFonts w:ascii="Verdana" w:hAnsi="Verdana"/>
                <w:sz w:val="18"/>
                <w:szCs w:val="18"/>
              </w:rPr>
              <w:t>g on equipment without removing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 xml:space="preserve"> the Lithium battery:</w:t>
            </w:r>
          </w:p>
          <w:p w14:paraId="44B5FC8A" w14:textId="77777777" w:rsidR="00C22202" w:rsidRDefault="00C22202" w:rsidP="006D61D4">
            <w:pPr>
              <w:rPr>
                <w:rFonts w:ascii="Verdana" w:hAnsi="Verdana"/>
                <w:sz w:val="18"/>
                <w:szCs w:val="18"/>
              </w:rPr>
            </w:pPr>
          </w:p>
          <w:p w14:paraId="385A7284" w14:textId="77777777" w:rsidR="00C22202" w:rsidRPr="00DB3EB7" w:rsidRDefault="00C22202" w:rsidP="006D61D4">
            <w:pPr>
              <w:rPr>
                <w:rStyle w:val="normaltextrun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14:paraId="00E81623" w14:textId="30FF284B" w:rsidR="00C22202" w:rsidRPr="00DB3EB7" w:rsidRDefault="00C22202" w:rsidP="006D61D4">
            <w:pP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Fire, smoke and fumes, burns from a overheated battery pack, corrosive burns from escaping electrolyte. Fragments from an exploding battery pack (worse case).</w:t>
            </w:r>
          </w:p>
        </w:tc>
        <w:tc>
          <w:tcPr>
            <w:tcW w:w="1984" w:type="dxa"/>
          </w:tcPr>
          <w:p w14:paraId="47B99F9C" w14:textId="77777777" w:rsidR="00C22202" w:rsidRDefault="00C22202" w:rsidP="006D61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University staff, students and visitors.</w:t>
            </w:r>
          </w:p>
          <w:p w14:paraId="372CFFC2" w14:textId="77777777" w:rsidR="00C22202" w:rsidRDefault="00C22202" w:rsidP="006D61D4">
            <w:pPr>
              <w:rPr>
                <w:rFonts w:ascii="Verdana" w:hAnsi="Verdana"/>
                <w:sz w:val="18"/>
                <w:szCs w:val="18"/>
              </w:rPr>
            </w:pPr>
          </w:p>
          <w:p w14:paraId="545C9862" w14:textId="77777777" w:rsidR="00C22202" w:rsidRDefault="00C22202" w:rsidP="006D61D4">
            <w:pPr>
              <w:rPr>
                <w:rFonts w:ascii="Verdana" w:hAnsi="Verdana"/>
                <w:sz w:val="18"/>
                <w:szCs w:val="18"/>
              </w:rPr>
            </w:pPr>
          </w:p>
          <w:p w14:paraId="62A5EA92" w14:textId="77777777" w:rsidR="00C22202" w:rsidRPr="00DB3EB7" w:rsidRDefault="00C22202" w:rsidP="006D61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700679B" w14:textId="77777777" w:rsidR="00C22202" w:rsidRDefault="00C22202" w:rsidP="00C2220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Lithium battery pack should be easily accessible and removable from the equipment during the development phase of a project.</w:t>
            </w:r>
          </w:p>
          <w:p w14:paraId="159388D1" w14:textId="77777777" w:rsidR="009D5EF8" w:rsidRDefault="009D5EF8" w:rsidP="00C2220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14:paraId="1224C32D" w14:textId="04710885" w:rsidR="009D5EF8" w:rsidRPr="00DB3EB7" w:rsidRDefault="009D5EF8" w:rsidP="009D5E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terminal (+ and -)connectors will be covered as soon as possible after being inserted or removed for maintainance.</w:t>
            </w:r>
          </w:p>
        </w:tc>
        <w:tc>
          <w:tcPr>
            <w:tcW w:w="992" w:type="dxa"/>
          </w:tcPr>
          <w:p w14:paraId="0A06ED3F" w14:textId="77777777" w:rsidR="00C22202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C838DE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3A7238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3C9273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CB4A40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EC587B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605603" w14:textId="31B4A143" w:rsidR="00C22202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05" w:type="dxa"/>
          </w:tcPr>
          <w:p w14:paraId="6BB08D35" w14:textId="77777777" w:rsidR="00C22202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262163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DBCBFA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2CF6C9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B044301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8B49DE" w14:textId="77777777" w:rsidR="00C22202" w:rsidRPr="00AB628F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D08190" w14:textId="339D8E95" w:rsidR="00C22202" w:rsidRPr="00DB3EB7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C22202" w:rsidRPr="003708A9" w14:paraId="4E11E073" w14:textId="77777777" w:rsidTr="007876FC">
        <w:trPr>
          <w:cantSplit/>
          <w:jc w:val="center"/>
        </w:trPr>
        <w:tc>
          <w:tcPr>
            <w:tcW w:w="1505" w:type="dxa"/>
            <w:vAlign w:val="center"/>
          </w:tcPr>
          <w:p w14:paraId="2AEBC92F" w14:textId="693ECC57" w:rsidR="00C22202" w:rsidRPr="00DB3EB7" w:rsidRDefault="00C22202" w:rsidP="006D61D4">
            <w:pPr>
              <w:rPr>
                <w:rStyle w:val="normaltextrun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</w:pPr>
            <w:r w:rsidRPr="00DB3EB7">
              <w:rPr>
                <w:rStyle w:val="normaltextrun"/>
                <w:rFonts w:ascii="Verdana" w:hAnsi="Verdana"/>
                <w:color w:val="00000A"/>
                <w:sz w:val="18"/>
                <w:szCs w:val="18"/>
                <w:shd w:val="clear" w:color="auto" w:fill="FFFFFF"/>
              </w:rPr>
              <w:t>Poor Battery health</w:t>
            </w:r>
          </w:p>
        </w:tc>
        <w:tc>
          <w:tcPr>
            <w:tcW w:w="1843" w:type="dxa"/>
            <w:vAlign w:val="center"/>
          </w:tcPr>
          <w:p w14:paraId="3291EA10" w14:textId="543C2481" w:rsidR="00C22202" w:rsidRPr="00DB3EB7" w:rsidRDefault="009D5EF8" w:rsidP="006D61D4">
            <w:pP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Battery leak</w:t>
            </w:r>
          </w:p>
        </w:tc>
        <w:tc>
          <w:tcPr>
            <w:tcW w:w="1984" w:type="dxa"/>
            <w:vAlign w:val="center"/>
          </w:tcPr>
          <w:p w14:paraId="22CD476C" w14:textId="13836859" w:rsidR="00C22202" w:rsidRPr="00DB3EB7" w:rsidRDefault="00C22202" w:rsidP="006D61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User opening metallic frame</w:t>
            </w:r>
          </w:p>
        </w:tc>
        <w:tc>
          <w:tcPr>
            <w:tcW w:w="6946" w:type="dxa"/>
            <w:vAlign w:val="center"/>
          </w:tcPr>
          <w:p w14:paraId="5305BCEC" w14:textId="77777777" w:rsidR="00C22202" w:rsidRPr="00DB3EB7" w:rsidRDefault="00C22202" w:rsidP="00C222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First aid measures </w:t>
            </w:r>
          </w:p>
          <w:p w14:paraId="69804FB2" w14:textId="77777777" w:rsidR="00C22202" w:rsidRPr="00DB3EB7" w:rsidRDefault="00C22202" w:rsidP="00C2220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Eye: Flush eyes with plenty of water for at least 15 minutes, occasionally lifting the upper and lower eyelids. Get medical aid.</w:t>
            </w:r>
          </w:p>
          <w:p w14:paraId="582E9300" w14:textId="77777777" w:rsidR="00C22202" w:rsidRPr="00DB3EB7" w:rsidRDefault="00C22202" w:rsidP="00C2220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Skin: Remove contaminated clothes and rinse skin with plenty of water or shower for 15 minutes. Get medical aid. </w:t>
            </w:r>
          </w:p>
          <w:p w14:paraId="2290D081" w14:textId="77777777" w:rsidR="00C22202" w:rsidRPr="00DB3EB7" w:rsidRDefault="00C22202" w:rsidP="00C2220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 xml:space="preserve">Inhalation: Remove from exposure and move to fresh air immediately. Use oxygen if available. </w:t>
            </w:r>
          </w:p>
          <w:p w14:paraId="3839CB62" w14:textId="0DCA3CF2" w:rsidR="00C22202" w:rsidRPr="00DB3EB7" w:rsidRDefault="00C22202" w:rsidP="00C2220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</w:pPr>
            <w:r w:rsidRPr="00DB3EB7">
              <w:rPr>
                <w:rStyle w:val="normaltextrun"/>
                <w:rFonts w:ascii="Verdana" w:hAnsi="Verdana" w:cs="Segoe UI"/>
                <w:color w:val="00000A"/>
                <w:sz w:val="18"/>
                <w:szCs w:val="18"/>
              </w:rPr>
              <w:t>Ingestion: Give at least 2 glasses of milk or water. Induce vomiting unless patient is unconscious. Call Doctor</w:t>
            </w:r>
          </w:p>
        </w:tc>
        <w:tc>
          <w:tcPr>
            <w:tcW w:w="992" w:type="dxa"/>
          </w:tcPr>
          <w:p w14:paraId="1C3C3D94" w14:textId="0B3AB84A" w:rsidR="00C22202" w:rsidRPr="00DB3EB7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Medium</w:t>
            </w:r>
          </w:p>
        </w:tc>
        <w:tc>
          <w:tcPr>
            <w:tcW w:w="905" w:type="dxa"/>
          </w:tcPr>
          <w:p w14:paraId="4E131B79" w14:textId="6E4E6DD9" w:rsidR="00C22202" w:rsidRPr="00DB3EB7" w:rsidRDefault="00C22202" w:rsidP="00C00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3EB7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3C9E54A0" w14:textId="77777777" w:rsidR="005816CD" w:rsidRPr="003708A9" w:rsidRDefault="003708A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851"/>
        <w:gridCol w:w="1502"/>
        <w:gridCol w:w="1428"/>
        <w:gridCol w:w="1400"/>
      </w:tblGrid>
      <w:tr w:rsidR="005816CD" w:rsidRPr="000701CA" w14:paraId="1521C876" w14:textId="77777777" w:rsidTr="008C273E">
        <w:trPr>
          <w:trHeight w:val="577"/>
        </w:trPr>
        <w:tc>
          <w:tcPr>
            <w:tcW w:w="14218" w:type="dxa"/>
            <w:gridSpan w:val="5"/>
            <w:shd w:val="clear" w:color="auto" w:fill="DBE5F1"/>
          </w:tcPr>
          <w:p w14:paraId="21214A08" w14:textId="77777777" w:rsidR="005816CD" w:rsidRPr="000701CA" w:rsidRDefault="005816CD" w:rsidP="005816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5816CD" w:rsidRPr="000701CA" w14:paraId="5CEDFA0B" w14:textId="77777777" w:rsidTr="008C273E">
        <w:tc>
          <w:tcPr>
            <w:tcW w:w="817" w:type="dxa"/>
            <w:shd w:val="clear" w:color="auto" w:fill="DBE5F1"/>
          </w:tcPr>
          <w:p w14:paraId="4C140925" w14:textId="77777777" w:rsidR="005816CD" w:rsidRPr="000701CA" w:rsidRDefault="005816CD" w:rsidP="005816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9028" w:type="dxa"/>
            <w:shd w:val="clear" w:color="auto" w:fill="DBE5F1"/>
          </w:tcPr>
          <w:p w14:paraId="37AFA5B6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517" w:type="dxa"/>
            <w:shd w:val="clear" w:color="auto" w:fill="DBE5F1"/>
          </w:tcPr>
          <w:p w14:paraId="687505B7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41" w:type="dxa"/>
            <w:shd w:val="clear" w:color="auto" w:fill="DBE5F1"/>
          </w:tcPr>
          <w:p w14:paraId="6C692C12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415" w:type="dxa"/>
            <w:shd w:val="clear" w:color="auto" w:fill="DBE5F1"/>
          </w:tcPr>
          <w:p w14:paraId="19CCB2A4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5816CD" w:rsidRPr="000701CA" w14:paraId="28EDE505" w14:textId="77777777" w:rsidTr="000701CA">
        <w:trPr>
          <w:trHeight w:val="679"/>
        </w:trPr>
        <w:tc>
          <w:tcPr>
            <w:tcW w:w="817" w:type="dxa"/>
          </w:tcPr>
          <w:p w14:paraId="309E683D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4811C9BF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D757934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EB7B168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81DC3CF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5EC315E1" w14:textId="77777777" w:rsidTr="000701CA">
        <w:trPr>
          <w:trHeight w:val="679"/>
        </w:trPr>
        <w:tc>
          <w:tcPr>
            <w:tcW w:w="817" w:type="dxa"/>
          </w:tcPr>
          <w:p w14:paraId="4977BE5E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11CEF5EA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BBCDCB6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76C0FA1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7A06156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65B58DB5" w14:textId="77777777" w:rsidTr="000701CA">
        <w:trPr>
          <w:trHeight w:val="680"/>
        </w:trPr>
        <w:tc>
          <w:tcPr>
            <w:tcW w:w="817" w:type="dxa"/>
          </w:tcPr>
          <w:p w14:paraId="7D2B3978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7E489D89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2D0952B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6F76AF6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CCF3F20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5F1A3B8E" w14:textId="77777777" w:rsidTr="000701CA">
        <w:trPr>
          <w:trHeight w:val="679"/>
        </w:trPr>
        <w:tc>
          <w:tcPr>
            <w:tcW w:w="817" w:type="dxa"/>
          </w:tcPr>
          <w:p w14:paraId="010A45EE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02296187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88F3603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17D861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2D4F726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5683E780" w14:textId="77777777" w:rsidTr="000701CA">
        <w:trPr>
          <w:trHeight w:val="680"/>
        </w:trPr>
        <w:tc>
          <w:tcPr>
            <w:tcW w:w="817" w:type="dxa"/>
          </w:tcPr>
          <w:p w14:paraId="0C6B8CC2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15039D9C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6C226D0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157DBCC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297D99B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21192990" w14:textId="77777777" w:rsidTr="000701CA">
        <w:trPr>
          <w:trHeight w:val="679"/>
        </w:trPr>
        <w:tc>
          <w:tcPr>
            <w:tcW w:w="817" w:type="dxa"/>
          </w:tcPr>
          <w:p w14:paraId="1D54EB53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5DD4901D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EA994E2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C16E9B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9BCF53E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816CD" w:rsidRPr="000701CA" w14:paraId="477E5271" w14:textId="77777777" w:rsidTr="000701CA">
        <w:trPr>
          <w:trHeight w:val="680"/>
        </w:trPr>
        <w:tc>
          <w:tcPr>
            <w:tcW w:w="817" w:type="dxa"/>
          </w:tcPr>
          <w:p w14:paraId="5D5C2B37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8" w:type="dxa"/>
          </w:tcPr>
          <w:p w14:paraId="33F2B5C6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13429C7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933574A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1A87ADD" w14:textId="77777777" w:rsidR="005816CD" w:rsidRPr="000701CA" w:rsidRDefault="005816CD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2D90F1" w14:textId="77777777" w:rsidR="00EF7311" w:rsidRPr="00DB59EA" w:rsidRDefault="00EF7311" w:rsidP="00DB59EA">
      <w:pPr>
        <w:rPr>
          <w:rFonts w:ascii="Verdana" w:hAnsi="Verdana"/>
          <w:sz w:val="18"/>
        </w:rPr>
      </w:pPr>
    </w:p>
    <w:p w14:paraId="31CFF731" w14:textId="77777777" w:rsidR="00EF7311" w:rsidRPr="00DB59EA" w:rsidRDefault="00EF7311" w:rsidP="00DB59EA">
      <w:pPr>
        <w:rPr>
          <w:rFonts w:ascii="Verdana" w:hAnsi="Verdana"/>
          <w:sz w:val="18"/>
        </w:rPr>
        <w:sectPr w:rsidR="00EF7311" w:rsidRPr="00DB59EA" w:rsidSect="00EF7311">
          <w:footerReference w:type="default" r:id="rId13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AC87CB" w14:textId="77777777" w:rsidR="00DE35D7" w:rsidRPr="0082346E" w:rsidRDefault="005816CD" w:rsidP="00DE35D7">
      <w:pPr>
        <w:spacing w:line="288" w:lineRule="auto"/>
        <w:rPr>
          <w:rFonts w:ascii="Verdana" w:hAnsi="Verdana"/>
          <w:sz w:val="20"/>
        </w:rPr>
      </w:pPr>
      <w:r w:rsidRPr="0082346E">
        <w:rPr>
          <w:rFonts w:ascii="Verdana" w:hAnsi="Verdana"/>
          <w:sz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35D7" w:rsidRPr="00141F2F" w14:paraId="5EA7687B" w14:textId="77777777" w:rsidTr="00272AD5">
        <w:trPr>
          <w:trHeight w:val="577"/>
        </w:trPr>
        <w:tc>
          <w:tcPr>
            <w:tcW w:w="14218" w:type="dxa"/>
          </w:tcPr>
          <w:p w14:paraId="5AE230D0" w14:textId="77777777" w:rsidR="00DE35D7" w:rsidRPr="00C66E61" w:rsidRDefault="00DE35D7" w:rsidP="00272AD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41F2F">
              <w:rPr>
                <w:b/>
                <w:sz w:val="22"/>
                <w:szCs w:val="22"/>
                <w:u w:val="single"/>
              </w:rPr>
              <w:t>Authorisation by PI</w:t>
            </w:r>
            <w:r>
              <w:rPr>
                <w:b/>
                <w:sz w:val="22"/>
                <w:szCs w:val="22"/>
                <w:u w:val="single"/>
              </w:rPr>
              <w:t>/ Line Manager</w:t>
            </w:r>
          </w:p>
          <w:p w14:paraId="32779300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</w:p>
          <w:p w14:paraId="304F2F02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 xml:space="preserve">I confirm that I have considered and understand the experiment and the associated hazards. I am satisfied that all of the hazards have been identified and that the control measures to be followed will reduce the risks to acceptable levels. </w:t>
            </w:r>
          </w:p>
          <w:p w14:paraId="68CB288E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</w:p>
          <w:p w14:paraId="54DFBEB4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Print name:                                                                                  Signed:</w:t>
            </w:r>
          </w:p>
          <w:p w14:paraId="26A3E78B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</w:p>
          <w:p w14:paraId="78F68567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Date:</w:t>
            </w:r>
          </w:p>
          <w:p w14:paraId="2468AC51" w14:textId="77777777" w:rsidR="00DE35D7" w:rsidRPr="00141F2F" w:rsidRDefault="00DE35D7" w:rsidP="00272AD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C613B65" w14:textId="57601458" w:rsidR="00E01D5E" w:rsidRDefault="00E01D5E" w:rsidP="00DE35D7">
      <w:pPr>
        <w:spacing w:line="288" w:lineRule="auto"/>
        <w:rPr>
          <w:rFonts w:ascii="Verdana" w:hAnsi="Verdana"/>
          <w:sz w:val="20"/>
        </w:rPr>
      </w:pPr>
    </w:p>
    <w:p w14:paraId="5C8C41BC" w14:textId="77777777" w:rsidR="00DE35D7" w:rsidRPr="00141F2F" w:rsidRDefault="00DE35D7" w:rsidP="00DE35D7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researcher</w:t>
      </w:r>
    </w:p>
    <w:p w14:paraId="0BC2C3F5" w14:textId="77777777" w:rsidR="00DE35D7" w:rsidRPr="00141F2F" w:rsidRDefault="00DE35D7" w:rsidP="00DE35D7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I have read this Risk Assessment and that I understand the hazards and risks involved and will follow all of the safety procedures stated.</w:t>
      </w:r>
    </w:p>
    <w:p w14:paraId="49E44EBE" w14:textId="77777777" w:rsidR="00DE35D7" w:rsidRPr="00141F2F" w:rsidRDefault="00DE35D7" w:rsidP="00DE35D7">
      <w:pPr>
        <w:jc w:val="both"/>
        <w:rPr>
          <w:b/>
          <w:sz w:val="22"/>
          <w:szCs w:val="22"/>
          <w:u w:val="single"/>
        </w:rPr>
      </w:pPr>
    </w:p>
    <w:p w14:paraId="56ADA677" w14:textId="77777777" w:rsidR="00DE35D7" w:rsidRPr="00141F2F" w:rsidRDefault="00DE35D7" w:rsidP="00DE35D7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PI</w:t>
      </w:r>
      <w:r>
        <w:rPr>
          <w:b/>
          <w:sz w:val="22"/>
          <w:szCs w:val="22"/>
          <w:u w:val="single"/>
        </w:rPr>
        <w:t>/Line Manager</w:t>
      </w:r>
    </w:p>
    <w:p w14:paraId="5ED7FC18" w14:textId="77777777" w:rsidR="00DE35D7" w:rsidRPr="00141F2F" w:rsidRDefault="00DE35D7" w:rsidP="00DE35D7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the researcher who has signed below is competent to undertake the work. My counter-signature indicates that I am happy for the work to proceed.</w:t>
      </w:r>
    </w:p>
    <w:p w14:paraId="1EEF0EE5" w14:textId="77777777" w:rsidR="00DE35D7" w:rsidRPr="00141F2F" w:rsidRDefault="00DE35D7" w:rsidP="00DE35D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607"/>
        <w:gridCol w:w="3179"/>
        <w:gridCol w:w="1129"/>
      </w:tblGrid>
      <w:tr w:rsidR="00DE35D7" w:rsidRPr="00141F2F" w14:paraId="63F795C0" w14:textId="77777777" w:rsidTr="00272AD5">
        <w:tc>
          <w:tcPr>
            <w:tcW w:w="3510" w:type="dxa"/>
          </w:tcPr>
          <w:p w14:paraId="541B296D" w14:textId="77777777" w:rsidR="00DE35D7" w:rsidRPr="00141F2F" w:rsidRDefault="00DE35D7" w:rsidP="00DE35D7">
            <w:pPr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Name (please print)</w:t>
            </w:r>
          </w:p>
          <w:p w14:paraId="31112A51" w14:textId="77777777" w:rsidR="00DE35D7" w:rsidRPr="00141F2F" w:rsidRDefault="00DE35D7" w:rsidP="00DE35D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913898" w14:textId="52E1F892" w:rsidR="00DE35D7" w:rsidRPr="00141F2F" w:rsidRDefault="00DE35D7" w:rsidP="00DE3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141F2F">
              <w:rPr>
                <w:b/>
                <w:sz w:val="22"/>
                <w:szCs w:val="22"/>
              </w:rPr>
              <w:t>igned</w:t>
            </w:r>
          </w:p>
        </w:tc>
        <w:tc>
          <w:tcPr>
            <w:tcW w:w="4536" w:type="dxa"/>
          </w:tcPr>
          <w:p w14:paraId="303510E3" w14:textId="29795EB6" w:rsidR="00DE35D7" w:rsidRPr="00141F2F" w:rsidRDefault="00DE35D7" w:rsidP="00DE35D7">
            <w:pPr>
              <w:rPr>
                <w:b/>
                <w:sz w:val="22"/>
                <w:szCs w:val="22"/>
              </w:rPr>
            </w:pPr>
            <w:r w:rsidRPr="00141F2F">
              <w:rPr>
                <w:b/>
                <w:sz w:val="22"/>
                <w:szCs w:val="22"/>
              </w:rPr>
              <w:t>PI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ine </w:t>
            </w:r>
            <w:r>
              <w:rPr>
                <w:b/>
                <w:sz w:val="22"/>
                <w:szCs w:val="22"/>
              </w:rPr>
              <w:t>manager</w:t>
            </w:r>
            <w:r w:rsidRPr="00141F2F">
              <w:rPr>
                <w:b/>
                <w:sz w:val="22"/>
                <w:szCs w:val="22"/>
              </w:rPr>
              <w:t xml:space="preserve"> countersignature</w:t>
            </w:r>
          </w:p>
        </w:tc>
        <w:tc>
          <w:tcPr>
            <w:tcW w:w="1636" w:type="dxa"/>
          </w:tcPr>
          <w:p w14:paraId="7ED59D11" w14:textId="49226125" w:rsidR="00DE35D7" w:rsidRPr="00141F2F" w:rsidRDefault="00DE35D7" w:rsidP="00DE3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141F2F">
              <w:rPr>
                <w:b/>
                <w:sz w:val="22"/>
                <w:szCs w:val="22"/>
              </w:rPr>
              <w:t>ate</w:t>
            </w:r>
          </w:p>
        </w:tc>
      </w:tr>
      <w:tr w:rsidR="00DE35D7" w:rsidRPr="00141F2F" w14:paraId="4E31CA56" w14:textId="77777777" w:rsidTr="00272AD5">
        <w:trPr>
          <w:trHeight w:val="679"/>
        </w:trPr>
        <w:tc>
          <w:tcPr>
            <w:tcW w:w="3510" w:type="dxa"/>
          </w:tcPr>
          <w:p w14:paraId="2C38DB44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C40847D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2277F81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70537EBB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</w:tr>
      <w:tr w:rsidR="00DE35D7" w:rsidRPr="00141F2F" w14:paraId="33343706" w14:textId="77777777" w:rsidTr="00272AD5">
        <w:trPr>
          <w:trHeight w:val="679"/>
        </w:trPr>
        <w:tc>
          <w:tcPr>
            <w:tcW w:w="3510" w:type="dxa"/>
          </w:tcPr>
          <w:p w14:paraId="672C2F90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5299DDA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899754F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42362B9E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</w:tr>
      <w:tr w:rsidR="00DE35D7" w:rsidRPr="00141F2F" w14:paraId="52EF1C69" w14:textId="77777777" w:rsidTr="00272AD5">
        <w:trPr>
          <w:trHeight w:val="680"/>
        </w:trPr>
        <w:tc>
          <w:tcPr>
            <w:tcW w:w="3510" w:type="dxa"/>
          </w:tcPr>
          <w:p w14:paraId="752FA6DC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0214347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71ED049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4296406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</w:tr>
      <w:tr w:rsidR="00DE35D7" w:rsidRPr="00141F2F" w14:paraId="44886F28" w14:textId="77777777" w:rsidTr="00272AD5">
        <w:trPr>
          <w:trHeight w:val="680"/>
        </w:trPr>
        <w:tc>
          <w:tcPr>
            <w:tcW w:w="3510" w:type="dxa"/>
          </w:tcPr>
          <w:p w14:paraId="3A21C701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CDC498E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9FE9E68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80FE31B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</w:tr>
      <w:tr w:rsidR="00DE35D7" w:rsidRPr="00141F2F" w14:paraId="6D223093" w14:textId="77777777" w:rsidTr="00272AD5">
        <w:trPr>
          <w:trHeight w:val="680"/>
        </w:trPr>
        <w:tc>
          <w:tcPr>
            <w:tcW w:w="3510" w:type="dxa"/>
          </w:tcPr>
          <w:p w14:paraId="411D1E09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5160435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8AC1CEE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4DDE885D" w14:textId="77777777" w:rsidR="00DE35D7" w:rsidRPr="00141F2F" w:rsidRDefault="00DE35D7" w:rsidP="00272AD5">
            <w:pPr>
              <w:jc w:val="both"/>
              <w:rPr>
                <w:sz w:val="22"/>
                <w:szCs w:val="22"/>
              </w:rPr>
            </w:pPr>
          </w:p>
        </w:tc>
      </w:tr>
    </w:tbl>
    <w:p w14:paraId="53AE5A9B" w14:textId="77777777" w:rsidR="00DE35D7" w:rsidRPr="00141F2F" w:rsidRDefault="00DE35D7" w:rsidP="00DE35D7">
      <w:pPr>
        <w:tabs>
          <w:tab w:val="num" w:pos="567"/>
        </w:tabs>
        <w:ind w:left="567" w:hanging="567"/>
        <w:jc w:val="both"/>
        <w:rPr>
          <w:sz w:val="22"/>
          <w:szCs w:val="22"/>
        </w:rPr>
      </w:pPr>
    </w:p>
    <w:p w14:paraId="1BF94FC2" w14:textId="77777777" w:rsidR="00DE35D7" w:rsidRPr="0082346E" w:rsidRDefault="00DE35D7" w:rsidP="00DE35D7">
      <w:pPr>
        <w:spacing w:line="288" w:lineRule="auto"/>
        <w:rPr>
          <w:rFonts w:ascii="Verdana" w:hAnsi="Verdana"/>
          <w:sz w:val="20"/>
        </w:rPr>
      </w:pPr>
    </w:p>
    <w:sectPr w:rsidR="00DE35D7" w:rsidRPr="0082346E" w:rsidSect="00EF7311"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85EB" w16cex:dateUtc="2023-04-04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D6B001" w16cid:durableId="27D685E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B437" w14:textId="77777777" w:rsidR="00E3082C" w:rsidRDefault="00E3082C">
      <w:r>
        <w:separator/>
      </w:r>
    </w:p>
  </w:endnote>
  <w:endnote w:type="continuationSeparator" w:id="0">
    <w:p w14:paraId="0D9533F0" w14:textId="77777777" w:rsidR="00E3082C" w:rsidRDefault="00E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74BB" w14:textId="77777777" w:rsidR="00484F1E" w:rsidRDefault="00FF1D0B">
    <w:pPr>
      <w:pStyle w:val="Footer"/>
      <w:rPr>
        <w:i/>
        <w:sz w:val="20"/>
      </w:rPr>
    </w:pPr>
    <w:r>
      <w:rPr>
        <w:i/>
        <w:sz w:val="20"/>
      </w:rPr>
      <w:t xml:space="preserve">University Safety Services </w:t>
    </w:r>
    <w:r w:rsidR="00484F1E">
      <w:rPr>
        <w:i/>
        <w:sz w:val="20"/>
      </w:rPr>
      <w:t>risk assessment form</w:t>
    </w:r>
    <w:r w:rsidR="00484F1E" w:rsidRPr="001D5D34">
      <w:rPr>
        <w:i/>
        <w:sz w:val="20"/>
      </w:rPr>
      <w:t xml:space="preserve"> and guidance notes.</w:t>
    </w:r>
  </w:p>
  <w:p w14:paraId="01FF14DC" w14:textId="77777777" w:rsidR="002A1E6F" w:rsidRDefault="00D86E02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9095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7FF18455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F0CB" w14:textId="77777777" w:rsidR="00E3082C" w:rsidRDefault="00E3082C">
      <w:r>
        <w:separator/>
      </w:r>
    </w:p>
  </w:footnote>
  <w:footnote w:type="continuationSeparator" w:id="0">
    <w:p w14:paraId="577E7819" w14:textId="77777777" w:rsidR="00E3082C" w:rsidRDefault="00E3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BD7"/>
    <w:multiLevelType w:val="multilevel"/>
    <w:tmpl w:val="D302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E235A"/>
    <w:multiLevelType w:val="hybridMultilevel"/>
    <w:tmpl w:val="C1B60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BA0"/>
    <w:multiLevelType w:val="hybridMultilevel"/>
    <w:tmpl w:val="475E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AE1"/>
    <w:multiLevelType w:val="hybridMultilevel"/>
    <w:tmpl w:val="53AA2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D6BA1"/>
    <w:multiLevelType w:val="multilevel"/>
    <w:tmpl w:val="8332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1552D"/>
    <w:multiLevelType w:val="multilevel"/>
    <w:tmpl w:val="F06C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A1F71"/>
    <w:multiLevelType w:val="multilevel"/>
    <w:tmpl w:val="C4406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C7D14"/>
    <w:multiLevelType w:val="multilevel"/>
    <w:tmpl w:val="72102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83BDF"/>
    <w:multiLevelType w:val="hybridMultilevel"/>
    <w:tmpl w:val="BEF65CCE"/>
    <w:lvl w:ilvl="0" w:tplc="E7F8C1B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65CB"/>
    <w:multiLevelType w:val="hybridMultilevel"/>
    <w:tmpl w:val="3AA4F5AA"/>
    <w:lvl w:ilvl="0" w:tplc="FFFFFFFF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37EB3"/>
    <w:multiLevelType w:val="hybridMultilevel"/>
    <w:tmpl w:val="F7505A9A"/>
    <w:lvl w:ilvl="0" w:tplc="E7F8C1B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F3358"/>
    <w:multiLevelType w:val="hybridMultilevel"/>
    <w:tmpl w:val="C7AA3CBE"/>
    <w:lvl w:ilvl="0" w:tplc="E7F8C1B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5C9C"/>
    <w:multiLevelType w:val="hybridMultilevel"/>
    <w:tmpl w:val="C1B60A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91400"/>
    <w:multiLevelType w:val="hybridMultilevel"/>
    <w:tmpl w:val="BEF65CCE"/>
    <w:lvl w:ilvl="0" w:tplc="FFFFFFFF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C1705"/>
    <w:multiLevelType w:val="hybridMultilevel"/>
    <w:tmpl w:val="93E42B64"/>
    <w:lvl w:ilvl="0" w:tplc="1D7A11C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113D7"/>
    <w:rsid w:val="00025E76"/>
    <w:rsid w:val="0005133D"/>
    <w:rsid w:val="00056DB6"/>
    <w:rsid w:val="000612CD"/>
    <w:rsid w:val="000701CA"/>
    <w:rsid w:val="0009325E"/>
    <w:rsid w:val="00097AD0"/>
    <w:rsid w:val="000A486F"/>
    <w:rsid w:val="000A501D"/>
    <w:rsid w:val="000B2DE9"/>
    <w:rsid w:val="000F7E0C"/>
    <w:rsid w:val="0010642B"/>
    <w:rsid w:val="00114630"/>
    <w:rsid w:val="00114AE6"/>
    <w:rsid w:val="001D5D34"/>
    <w:rsid w:val="001D75FC"/>
    <w:rsid w:val="0020100F"/>
    <w:rsid w:val="002277AD"/>
    <w:rsid w:val="00231A19"/>
    <w:rsid w:val="0023367C"/>
    <w:rsid w:val="002815C4"/>
    <w:rsid w:val="002A1E6F"/>
    <w:rsid w:val="002B37D2"/>
    <w:rsid w:val="002D7ABB"/>
    <w:rsid w:val="00332D99"/>
    <w:rsid w:val="003516DF"/>
    <w:rsid w:val="00364B84"/>
    <w:rsid w:val="003708A9"/>
    <w:rsid w:val="003E351A"/>
    <w:rsid w:val="003F17D5"/>
    <w:rsid w:val="003F37AB"/>
    <w:rsid w:val="004355BA"/>
    <w:rsid w:val="00484F1E"/>
    <w:rsid w:val="005225C9"/>
    <w:rsid w:val="00545B29"/>
    <w:rsid w:val="00555185"/>
    <w:rsid w:val="00571DF9"/>
    <w:rsid w:val="005816CD"/>
    <w:rsid w:val="005B341E"/>
    <w:rsid w:val="005C135F"/>
    <w:rsid w:val="005C61ED"/>
    <w:rsid w:val="005E68E8"/>
    <w:rsid w:val="00622FA5"/>
    <w:rsid w:val="00635DF2"/>
    <w:rsid w:val="006662D4"/>
    <w:rsid w:val="0069697B"/>
    <w:rsid w:val="006D61D4"/>
    <w:rsid w:val="00732D35"/>
    <w:rsid w:val="00752315"/>
    <w:rsid w:val="00761036"/>
    <w:rsid w:val="00782CE0"/>
    <w:rsid w:val="00791668"/>
    <w:rsid w:val="007A52B5"/>
    <w:rsid w:val="007A78B9"/>
    <w:rsid w:val="00800C82"/>
    <w:rsid w:val="008018B8"/>
    <w:rsid w:val="0082346E"/>
    <w:rsid w:val="00835139"/>
    <w:rsid w:val="00853E07"/>
    <w:rsid w:val="00856A77"/>
    <w:rsid w:val="00865A6A"/>
    <w:rsid w:val="00874863"/>
    <w:rsid w:val="00896503"/>
    <w:rsid w:val="008A7B06"/>
    <w:rsid w:val="008C273E"/>
    <w:rsid w:val="008F47E5"/>
    <w:rsid w:val="00926378"/>
    <w:rsid w:val="00945D8B"/>
    <w:rsid w:val="009538CF"/>
    <w:rsid w:val="00964569"/>
    <w:rsid w:val="00976038"/>
    <w:rsid w:val="009D5EF8"/>
    <w:rsid w:val="009E0F87"/>
    <w:rsid w:val="009E7838"/>
    <w:rsid w:val="00A36E86"/>
    <w:rsid w:val="00A65253"/>
    <w:rsid w:val="00AE1A75"/>
    <w:rsid w:val="00B25CC5"/>
    <w:rsid w:val="00B35E07"/>
    <w:rsid w:val="00B50259"/>
    <w:rsid w:val="00B613A2"/>
    <w:rsid w:val="00B75077"/>
    <w:rsid w:val="00BB1B64"/>
    <w:rsid w:val="00BD53AC"/>
    <w:rsid w:val="00C00FBE"/>
    <w:rsid w:val="00C22202"/>
    <w:rsid w:val="00C66350"/>
    <w:rsid w:val="00C86360"/>
    <w:rsid w:val="00CA2B83"/>
    <w:rsid w:val="00D15D78"/>
    <w:rsid w:val="00D30F1A"/>
    <w:rsid w:val="00D3727E"/>
    <w:rsid w:val="00D47B12"/>
    <w:rsid w:val="00D75F63"/>
    <w:rsid w:val="00D86E02"/>
    <w:rsid w:val="00DB3EB7"/>
    <w:rsid w:val="00DB59EA"/>
    <w:rsid w:val="00DB7477"/>
    <w:rsid w:val="00DE35D7"/>
    <w:rsid w:val="00DE6A43"/>
    <w:rsid w:val="00E01D5E"/>
    <w:rsid w:val="00E3082C"/>
    <w:rsid w:val="00E3654D"/>
    <w:rsid w:val="00E45785"/>
    <w:rsid w:val="00EE3D45"/>
    <w:rsid w:val="00EF0669"/>
    <w:rsid w:val="00EF7311"/>
    <w:rsid w:val="00F60F98"/>
    <w:rsid w:val="00FB55C1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8CD55"/>
  <w15:docId w15:val="{DDA2C92D-4FEB-479C-869F-3709A02E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EA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4AE6"/>
    <w:pPr>
      <w:ind w:left="720"/>
      <w:contextualSpacing/>
    </w:pPr>
  </w:style>
  <w:style w:type="character" w:customStyle="1" w:styleId="normaltextrun">
    <w:name w:val="normaltextrun"/>
    <w:basedOn w:val="DefaultParagraphFont"/>
    <w:rsid w:val="0010642B"/>
  </w:style>
  <w:style w:type="character" w:customStyle="1" w:styleId="eop">
    <w:name w:val="eop"/>
    <w:basedOn w:val="DefaultParagraphFont"/>
    <w:rsid w:val="0010642B"/>
  </w:style>
  <w:style w:type="paragraph" w:customStyle="1" w:styleId="paragraph">
    <w:name w:val="paragraph"/>
    <w:basedOn w:val="Normal"/>
    <w:rsid w:val="002B37D2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C222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22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0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0FBE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instruction_x0020_to_x0020_reviewers xmlns="f5302f1f-1086-42b0-8dd9-7ee6e0900acc" xsi:nil="true"/>
    <Event_x0020_ref xmlns="f5302f1f-1086-42b0-8dd9-7ee6e0900acc">Risk_Assessment_Form+guidance Mar 2015</Event_x0020_ref>
    <TaxKeywordTaxHTField xmlns="eac15a93-2a7d-488f-bebc-184c5b003a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and guidance</TermName>
          <TermId xmlns="http://schemas.microsoft.com/office/infopath/2007/PartnerControls">24ddc6c7-2a6e-4c14-89a0-e419cae92ae7</TermId>
        </TermInfo>
      </Terms>
    </TaxKeywordTaxHTField>
    <TaxCatchAll xmlns="eac15a93-2a7d-488f-bebc-184c5b003a8d">
      <Value>15</Value>
    </TaxCatchAl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25DB7A4E4141B6BDC574206933CF" ma:contentTypeVersion="2" ma:contentTypeDescription="Create a new document." ma:contentTypeScope="" ma:versionID="97dfb8368b564cbf33e768a1265b4a88">
  <xsd:schema xmlns:xsd="http://www.w3.org/2001/XMLSchema" xmlns:xs="http://www.w3.org/2001/XMLSchema" xmlns:p="http://schemas.microsoft.com/office/2006/metadata/properties" xmlns:ns2="eac15a93-2a7d-488f-bebc-184c5b003a8d" xmlns:ns3="f5302f1f-1086-42b0-8dd9-7ee6e0900acc" targetNamespace="http://schemas.microsoft.com/office/2006/metadata/properties" ma:root="true" ma:fieldsID="f3a9b561473dcfc7cf86cfa6be725f64" ns2:_="" ns3:_="">
    <xsd:import namespace="eac15a93-2a7d-488f-bebc-184c5b003a8d"/>
    <xsd:import namespace="f5302f1f-1086-42b0-8dd9-7ee6e0900ac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Event_x0020_ref"/>
                <xsd:element ref="ns3:Author_x0020_instruction_x0020_to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BF6EC3-A5A3-40D6-94CC-EAD20345C501}" ma:internalName="TaxCatchAll" ma:showField="CatchAllData" ma:web="{5c0061e4-dbd1-4f99-871b-93c4eb2f63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2f1f-1086-42b0-8dd9-7ee6e0900acc" elementFormDefault="qualified">
    <xsd:import namespace="http://schemas.microsoft.com/office/2006/documentManagement/types"/>
    <xsd:import namespace="http://schemas.microsoft.com/office/infopath/2007/PartnerControls"/>
    <xsd:element name="Event_x0020_ref" ma:index="11" ma:displayName="Event ref" ma:description="Event ref" ma:internalName="Event_x0020_ref">
      <xsd:simpleType>
        <xsd:restriction base="dms:Text">
          <xsd:maxLength value="255"/>
        </xsd:restriction>
      </xsd:simpleType>
    </xsd:element>
    <xsd:element name="Author_x0020_instruction_x0020_to_x0020_reviewers" ma:index="12" nillable="true" ma:displayName="Author instruction to reviewers" ma:internalName="Author_x0020_instruction_x0020_to_x0020_review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2E295-A6CE-4EB8-A2C9-9D846B820EBD}">
  <ds:schemaRefs>
    <ds:schemaRef ds:uri="http://schemas.microsoft.com/office/2006/metadata/properties"/>
    <ds:schemaRef ds:uri="http://schemas.microsoft.com/office/infopath/2007/PartnerControls"/>
    <ds:schemaRef ds:uri="f5302f1f-1086-42b0-8dd9-7ee6e0900acc"/>
    <ds:schemaRef ds:uri="eac15a93-2a7d-488f-bebc-184c5b003a8d"/>
  </ds:schemaRefs>
</ds:datastoreItem>
</file>

<file path=customXml/itemProps3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6804E-D927-42A8-8225-CD662A15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f5302f1f-1086-42b0-8dd9-7ee6e09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49DDDF-3C7F-49AE-928B-B93FE78D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 with guidance for use</vt:lpstr>
    </vt:vector>
  </TitlesOfParts>
  <Company>UMIST, ISD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creator>mprss02</dc:creator>
  <cp:keywords>form and guidance</cp:keywords>
  <cp:lastModifiedBy>Nicola Hutchings</cp:lastModifiedBy>
  <cp:revision>4</cp:revision>
  <cp:lastPrinted>2006-10-16T16:35:00Z</cp:lastPrinted>
  <dcterms:created xsi:type="dcterms:W3CDTF">2023-06-23T09:03:00Z</dcterms:created>
  <dcterms:modified xsi:type="dcterms:W3CDTF">2023-06-29T13:20:00Z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</Properties>
</file>